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F3C" w:rsidRDefault="00CD1F3C" w:rsidP="000107A2">
      <w:pPr>
        <w:jc w:val="center"/>
        <w:rPr>
          <w:rFonts w:ascii="Times New Roman Bold" w:hAnsi="Times New Roman Bold"/>
          <w:b/>
          <w:caps/>
        </w:rPr>
      </w:pPr>
    </w:p>
    <w:p w:rsidR="00CD1F3C" w:rsidRDefault="00CD1F3C" w:rsidP="000107A2">
      <w:pPr>
        <w:jc w:val="center"/>
        <w:rPr>
          <w:rFonts w:ascii="Times New Roman Bold" w:hAnsi="Times New Roman Bold"/>
          <w:b/>
          <w:caps/>
        </w:rPr>
      </w:pPr>
    </w:p>
    <w:p w:rsidR="00CD1F3C" w:rsidRDefault="00CD1F3C" w:rsidP="000107A2">
      <w:pPr>
        <w:jc w:val="center"/>
        <w:rPr>
          <w:rFonts w:ascii="Times New Roman Bold" w:hAnsi="Times New Roman Bold"/>
          <w:b/>
          <w:caps/>
        </w:rPr>
      </w:pPr>
    </w:p>
    <w:p w:rsidR="00CD1F3C" w:rsidRDefault="00CD1F3C" w:rsidP="000107A2">
      <w:pPr>
        <w:jc w:val="center"/>
        <w:rPr>
          <w:rFonts w:ascii="Times New Roman Bold" w:hAnsi="Times New Roman Bold"/>
          <w:b/>
          <w:caps/>
          <w:sz w:val="48"/>
          <w:szCs w:val="48"/>
        </w:rPr>
      </w:pPr>
    </w:p>
    <w:p w:rsidR="00CD1F3C" w:rsidRPr="00CD1F3C" w:rsidRDefault="00CD1F3C" w:rsidP="000107A2">
      <w:pPr>
        <w:jc w:val="center"/>
        <w:rPr>
          <w:rFonts w:ascii="Times New Roman Bold" w:hAnsi="Times New Roman Bold"/>
          <w:b/>
          <w:caps/>
          <w:sz w:val="48"/>
          <w:szCs w:val="48"/>
        </w:rPr>
      </w:pPr>
    </w:p>
    <w:p w:rsidR="00D34025" w:rsidRDefault="00662608" w:rsidP="000107A2">
      <w:pPr>
        <w:jc w:val="center"/>
        <w:rPr>
          <w:rFonts w:ascii="Times New Roman Bold" w:hAnsi="Times New Roman Bold"/>
          <w:b/>
          <w:caps/>
          <w:sz w:val="48"/>
          <w:szCs w:val="48"/>
        </w:rPr>
      </w:pPr>
      <w:r w:rsidRPr="00CD1F3C">
        <w:rPr>
          <w:rFonts w:ascii="Times New Roman Bold" w:hAnsi="Times New Roman Bold"/>
          <w:b/>
          <w:caps/>
          <w:sz w:val="48"/>
          <w:szCs w:val="48"/>
        </w:rPr>
        <w:t xml:space="preserve">Structural Remedies for Abuse of Dominance:  the </w:t>
      </w:r>
      <w:r w:rsidR="008D66B6">
        <w:rPr>
          <w:rFonts w:ascii="Times New Roman Bold" w:hAnsi="Times New Roman Bold"/>
          <w:b/>
          <w:caps/>
          <w:sz w:val="48"/>
          <w:szCs w:val="48"/>
        </w:rPr>
        <w:t xml:space="preserve">canadian </w:t>
      </w:r>
      <w:r w:rsidR="00CC0847">
        <w:rPr>
          <w:rFonts w:ascii="Times New Roman Bold" w:hAnsi="Times New Roman Bold"/>
          <w:b/>
          <w:caps/>
          <w:sz w:val="48"/>
          <w:szCs w:val="48"/>
        </w:rPr>
        <w:t>Landscape</w:t>
      </w:r>
    </w:p>
    <w:p w:rsidR="00CD1F3C" w:rsidRDefault="00CD1F3C" w:rsidP="000107A2">
      <w:pPr>
        <w:jc w:val="center"/>
        <w:rPr>
          <w:rFonts w:ascii="Times New Roman Bold" w:hAnsi="Times New Roman Bold"/>
          <w:b/>
          <w:caps/>
          <w:sz w:val="48"/>
          <w:szCs w:val="48"/>
        </w:rPr>
      </w:pPr>
    </w:p>
    <w:p w:rsidR="00CD1F3C" w:rsidRDefault="00CD1F3C" w:rsidP="000107A2">
      <w:pPr>
        <w:jc w:val="center"/>
        <w:rPr>
          <w:rFonts w:ascii="Times New Roman Bold" w:hAnsi="Times New Roman Bold"/>
          <w:b/>
          <w:caps/>
          <w:sz w:val="48"/>
          <w:szCs w:val="48"/>
        </w:rPr>
      </w:pPr>
    </w:p>
    <w:p w:rsidR="00CD1F3C" w:rsidRPr="00CD1F3C" w:rsidRDefault="00CD1F3C" w:rsidP="000107A2">
      <w:pPr>
        <w:jc w:val="center"/>
        <w:rPr>
          <w:rFonts w:ascii="Times New Roman Bold" w:hAnsi="Times New Roman Bold"/>
          <w:b/>
          <w:caps/>
          <w:sz w:val="48"/>
          <w:szCs w:val="48"/>
        </w:rPr>
      </w:pPr>
    </w:p>
    <w:p w:rsidR="00662608" w:rsidRPr="00662608" w:rsidRDefault="00662608" w:rsidP="000107A2">
      <w:pPr>
        <w:jc w:val="center"/>
        <w:rPr>
          <w:i/>
        </w:rPr>
      </w:pPr>
      <w:r w:rsidRPr="00662608">
        <w:rPr>
          <w:i/>
        </w:rPr>
        <w:t xml:space="preserve">James Musgrove &amp; </w:t>
      </w:r>
      <w:r w:rsidR="008D66B6">
        <w:rPr>
          <w:i/>
        </w:rPr>
        <w:t>Sarah Stirling-Moffet</w:t>
      </w:r>
    </w:p>
    <w:p w:rsidR="00662608" w:rsidRDefault="00662608" w:rsidP="000107A2">
      <w:pPr>
        <w:jc w:val="center"/>
      </w:pPr>
      <w:r>
        <w:t>McMillan LLP</w:t>
      </w:r>
    </w:p>
    <w:p w:rsidR="00CD1F3C" w:rsidRDefault="00CD1F3C" w:rsidP="000107A2">
      <w:pPr>
        <w:jc w:val="center"/>
      </w:pPr>
    </w:p>
    <w:p w:rsidR="00CD1F3C" w:rsidRDefault="003B0A14" w:rsidP="000107A2">
      <w:pPr>
        <w:jc w:val="center"/>
      </w:pPr>
      <w:r>
        <w:t>With the assistance of Kamal Azmy</w:t>
      </w:r>
      <w:r w:rsidR="008D66B6">
        <w:t>, Student-at-Law</w:t>
      </w:r>
    </w:p>
    <w:p w:rsidR="008D66B6" w:rsidRDefault="008D66B6" w:rsidP="000107A2">
      <w:pPr>
        <w:jc w:val="center"/>
      </w:pPr>
    </w:p>
    <w:p w:rsidR="00CD1F3C" w:rsidRDefault="00CD1F3C" w:rsidP="000107A2">
      <w:pPr>
        <w:jc w:val="center"/>
      </w:pPr>
      <w:r w:rsidRPr="00CD1F3C">
        <w:t>Monopolization: Where Are the Structural Remedies?</w:t>
      </w:r>
      <w:r>
        <w:br/>
      </w:r>
      <w:r w:rsidRPr="00CD1F3C">
        <w:t>ABA 2022 Spring Meeting</w:t>
      </w:r>
      <w:r>
        <w:br/>
      </w:r>
      <w:r w:rsidRPr="00CD1F3C">
        <w:t>Washington, DC</w:t>
      </w:r>
      <w:r>
        <w:br/>
      </w:r>
      <w:r w:rsidRPr="00CD1F3C">
        <w:t>April 5-8. 2022</w:t>
      </w:r>
    </w:p>
    <w:p w:rsidR="00CD1F3C" w:rsidRDefault="00CD1F3C" w:rsidP="000107A2">
      <w:pPr>
        <w:pStyle w:val="ListParagraph"/>
        <w:numPr>
          <w:ilvl w:val="0"/>
          <w:numId w:val="17"/>
        </w:numPr>
        <w:rPr>
          <w:rFonts w:ascii="Times New Roman Bold" w:hAnsi="Times New Roman Bold"/>
          <w:b/>
          <w:caps/>
        </w:rPr>
      </w:pPr>
      <w:r w:rsidRPr="00CD1F3C">
        <w:rPr>
          <w:rFonts w:ascii="Times New Roman Bold" w:hAnsi="Times New Roman Bold"/>
          <w:b/>
          <w:caps/>
        </w:rPr>
        <w:lastRenderedPageBreak/>
        <w:t>Introduction – The Issue</w:t>
      </w:r>
    </w:p>
    <w:p w:rsidR="00CD1F3C" w:rsidRDefault="002A496D" w:rsidP="000107A2">
      <w:pPr>
        <w:pStyle w:val="ONEBodyText"/>
      </w:pPr>
      <w:r>
        <w:t>The subject of this brief note is the question of what remedies are</w:t>
      </w:r>
      <w:r w:rsidR="003B0A14">
        <w:t xml:space="preserve"> available </w:t>
      </w:r>
      <w:r>
        <w:t xml:space="preserve">to address </w:t>
      </w:r>
      <w:r w:rsidR="003B0A14">
        <w:t xml:space="preserve">concerns related to </w:t>
      </w:r>
      <w:r>
        <w:t xml:space="preserve">abuse of dominance/monopolization under Canada’s </w:t>
      </w:r>
      <w:r>
        <w:rPr>
          <w:i/>
        </w:rPr>
        <w:t>Competition Act</w:t>
      </w:r>
      <w:r w:rsidR="00E009A5">
        <w:rPr>
          <w:rStyle w:val="FootnoteReference"/>
          <w:i/>
        </w:rPr>
        <w:footnoteReference w:id="1"/>
      </w:r>
      <w:r>
        <w:t xml:space="preserve">.  As will be </w:t>
      </w:r>
      <w:r w:rsidR="000377F4">
        <w:t>explored</w:t>
      </w:r>
      <w:r>
        <w:t xml:space="preserve"> below, the s</w:t>
      </w:r>
      <w:r w:rsidR="005D5617">
        <w:t>tatut</w:t>
      </w:r>
      <w:r w:rsidR="000377F4">
        <w:t>e</w:t>
      </w:r>
      <w:r>
        <w:t xml:space="preserve"> allows for a range of remedies, from cease and desist orders on up.  The vast majority of the orders made over the years have been of the cease and desist </w:t>
      </w:r>
      <w:r w:rsidR="000377F4">
        <w:t>variety</w:t>
      </w:r>
      <w:r w:rsidR="00B02B65">
        <w:t xml:space="preserve">.  Most orders going beyond cease and desist have been in the nature of mandatory injunctions.  None </w:t>
      </w:r>
      <w:proofErr w:type="gramStart"/>
      <w:r w:rsidR="00B02B65">
        <w:t>have</w:t>
      </w:r>
      <w:proofErr w:type="gramEnd"/>
      <w:r w:rsidR="00B02B65">
        <w:t xml:space="preserve"> been purely structural, but one or two have had some quasi-structural elements.</w:t>
      </w:r>
      <w:r w:rsidR="007733CC">
        <w:t xml:space="preserve">  </w:t>
      </w:r>
      <w:r w:rsidR="00644610">
        <w:t xml:space="preserve">In this note we outline the statutory provisions, canvass some of the </w:t>
      </w:r>
      <w:proofErr w:type="gramStart"/>
      <w:r w:rsidR="00644610">
        <w:t>thinking which</w:t>
      </w:r>
      <w:proofErr w:type="gramEnd"/>
      <w:r w:rsidR="00644610">
        <w:t xml:space="preserve"> underlay the provision when established in 1986, summarize the remedies in cases to date, and sum up the current state of play.</w:t>
      </w:r>
    </w:p>
    <w:p w:rsidR="00400D1B" w:rsidRDefault="000377F4" w:rsidP="000107A2">
      <w:pPr>
        <w:pStyle w:val="ONEBodyText"/>
      </w:pPr>
      <w:r>
        <w:t>In Canad</w:t>
      </w:r>
      <w:r w:rsidR="000D283D">
        <w:t>ian</w:t>
      </w:r>
      <w:r>
        <w:t xml:space="preserve"> competition law, like most antitrust systems, there are three principal types of conduct subject to challenge:  </w:t>
      </w:r>
      <w:r w:rsidR="000A1601">
        <w:t>m</w:t>
      </w:r>
      <w:r>
        <w:t>ergers</w:t>
      </w:r>
      <w:r w:rsidR="000D283D">
        <w:t>;</w:t>
      </w:r>
      <w:r>
        <w:t xml:space="preserve"> c</w:t>
      </w:r>
      <w:r w:rsidR="003B0A14">
        <w:t>artel</w:t>
      </w:r>
      <w:r w:rsidR="000D283D">
        <w:t xml:space="preserve"> agreements</w:t>
      </w:r>
      <w:proofErr w:type="gramStart"/>
      <w:r w:rsidR="000D283D">
        <w:t>;</w:t>
      </w:r>
      <w:proofErr w:type="gramEnd"/>
      <w:r w:rsidR="000D283D">
        <w:t xml:space="preserve"> </w:t>
      </w:r>
      <w:r>
        <w:t xml:space="preserve">and unilateral conduct/monopolization.  </w:t>
      </w:r>
      <w:r w:rsidR="003B0A14">
        <w:t>T</w:t>
      </w:r>
      <w:r>
        <w:t xml:space="preserve">he </w:t>
      </w:r>
      <w:r w:rsidR="002247E8">
        <w:t>main</w:t>
      </w:r>
      <w:r>
        <w:t xml:space="preserve"> concern of merger control is the formation of </w:t>
      </w:r>
      <w:proofErr w:type="gramStart"/>
      <w:r>
        <w:t>firms which</w:t>
      </w:r>
      <w:proofErr w:type="gramEnd"/>
      <w:r>
        <w:t xml:space="preserve"> would, through the merger, acquire or </w:t>
      </w:r>
      <w:r w:rsidR="003B0A14">
        <w:t>increase</w:t>
      </w:r>
      <w:r>
        <w:t xml:space="preserve"> their market power</w:t>
      </w:r>
      <w:r w:rsidR="00387F2F">
        <w:t xml:space="preserve"> to anti-competitive levels</w:t>
      </w:r>
      <w:r>
        <w:t xml:space="preserve">.  The </w:t>
      </w:r>
      <w:r w:rsidR="002247E8">
        <w:t>key</w:t>
      </w:r>
      <w:r>
        <w:t xml:space="preserve"> remedy employed is structural – preventing the merger or </w:t>
      </w:r>
      <w:r w:rsidR="003B0A14">
        <w:t>breaking</w:t>
      </w:r>
      <w:r>
        <w:t xml:space="preserve"> up the firm.</w:t>
      </w:r>
      <w:r w:rsidR="00387F2F">
        <w:t xml:space="preserve">  </w:t>
      </w:r>
      <w:r>
        <w:t xml:space="preserve">At the other end of the spectrum, cartel conduct </w:t>
      </w:r>
      <w:proofErr w:type="gramStart"/>
      <w:r>
        <w:t xml:space="preserve">is not </w:t>
      </w:r>
      <w:r w:rsidR="00BF4EB6">
        <w:t>premised</w:t>
      </w:r>
      <w:proofErr w:type="gramEnd"/>
      <w:r w:rsidR="00BF4EB6">
        <w:t xml:space="preserve"> </w:t>
      </w:r>
      <w:r>
        <w:t xml:space="preserve">on </w:t>
      </w:r>
      <w:r w:rsidR="00644610">
        <w:t xml:space="preserve">market </w:t>
      </w:r>
      <w:r>
        <w:t>structur</w:t>
      </w:r>
      <w:r w:rsidR="00BF4EB6">
        <w:t>e</w:t>
      </w:r>
      <w:r>
        <w:t xml:space="preserve">, but rather </w:t>
      </w:r>
      <w:r w:rsidR="00BF4EB6">
        <w:t>on</w:t>
      </w:r>
      <w:r w:rsidR="00400D1B">
        <w:t xml:space="preserve"> agreements.  The conduct </w:t>
      </w:r>
      <w:r w:rsidR="003B0A14">
        <w:t>can</w:t>
      </w:r>
      <w:r w:rsidR="00400D1B">
        <w:t xml:space="preserve"> (and does) occur regardless of the market structure, although</w:t>
      </w:r>
      <w:r w:rsidR="00882D3F">
        <w:t>,</w:t>
      </w:r>
      <w:r w:rsidR="00400D1B">
        <w:t xml:space="preserve"> of course</w:t>
      </w:r>
      <w:r w:rsidR="000A1601">
        <w:t>,</w:t>
      </w:r>
      <w:r w:rsidR="00400D1B">
        <w:t xml:space="preserve"> a more </w:t>
      </w:r>
      <w:r w:rsidR="003B0A14">
        <w:t xml:space="preserve">concentrated </w:t>
      </w:r>
      <w:r w:rsidR="00400D1B">
        <w:t xml:space="preserve">market structure may make cartel agreements easier </w:t>
      </w:r>
      <w:r w:rsidR="002247E8">
        <w:t xml:space="preserve">to strike and maintain, and therefore </w:t>
      </w:r>
      <w:r w:rsidR="00400D1B">
        <w:t xml:space="preserve">more likely.  The remedy in respect of cartel conduct is not structural – in addition to </w:t>
      </w:r>
      <w:proofErr w:type="gramStart"/>
      <w:r w:rsidR="00400D1B">
        <w:t>fines/penalties</w:t>
      </w:r>
      <w:proofErr w:type="gramEnd"/>
      <w:r w:rsidR="00400D1B">
        <w:t xml:space="preserve"> it is prohibition </w:t>
      </w:r>
      <w:r w:rsidR="003B0A14">
        <w:t>with respect to the</w:t>
      </w:r>
      <w:r w:rsidR="00400D1B">
        <w:t xml:space="preserve"> conduct.</w:t>
      </w:r>
      <w:r w:rsidR="00400D1B">
        <w:rPr>
          <w:rStyle w:val="FootnoteReference"/>
        </w:rPr>
        <w:footnoteReference w:id="2"/>
      </w:r>
    </w:p>
    <w:p w:rsidR="00400D1B" w:rsidRDefault="00400D1B" w:rsidP="000107A2">
      <w:pPr>
        <w:pStyle w:val="ONEBodyText"/>
      </w:pPr>
      <w:r>
        <w:t>Between mergers</w:t>
      </w:r>
      <w:r w:rsidR="000D283D">
        <w:t>,</w:t>
      </w:r>
      <w:r>
        <w:t xml:space="preserve"> which attract structural remedies – and cartels</w:t>
      </w:r>
      <w:r w:rsidR="000D283D">
        <w:t>,</w:t>
      </w:r>
      <w:r>
        <w:t xml:space="preserve"> which call for behavioural remedies/penalties, lie</w:t>
      </w:r>
      <w:r w:rsidR="00387F2F">
        <w:t>s</w:t>
      </w:r>
      <w:r>
        <w:t xml:space="preserve"> the third leg of the antitrust stool – unilateral conduct/monopolization.  In the name </w:t>
      </w:r>
      <w:r w:rsidR="00387F2F">
        <w:t>“</w:t>
      </w:r>
      <w:r>
        <w:t xml:space="preserve">unilateral </w:t>
      </w:r>
      <w:proofErr w:type="gramStart"/>
      <w:r w:rsidR="003B0A14">
        <w:t>conduct</w:t>
      </w:r>
      <w:r w:rsidR="00387F2F">
        <w:t>”</w:t>
      </w:r>
      <w:proofErr w:type="gramEnd"/>
      <w:r w:rsidR="003B0A14">
        <w:t xml:space="preserve"> we get the two elements:  “</w:t>
      </w:r>
      <w:r w:rsidR="000A1601">
        <w:t>u</w:t>
      </w:r>
      <w:r>
        <w:t>nilateral</w:t>
      </w:r>
      <w:r w:rsidR="003B0A14">
        <w:t>”</w:t>
      </w:r>
      <w:r>
        <w:t xml:space="preserve"> implies market structure as the source of the issue, not agreement</w:t>
      </w:r>
      <w:r w:rsidR="003B0A14">
        <w:t xml:space="preserve">; </w:t>
      </w:r>
      <w:r w:rsidR="00387F2F">
        <w:t>“c</w:t>
      </w:r>
      <w:r>
        <w:t>onduct” denotes the need for some specific action (in Canadian law defined as ‘anti-competit</w:t>
      </w:r>
      <w:r w:rsidR="003B0A14">
        <w:t>ive acts’)</w:t>
      </w:r>
      <w:r>
        <w:t>.  As has been regularly recognized</w:t>
      </w:r>
      <w:r w:rsidR="00644610">
        <w:t>,</w:t>
      </w:r>
      <w:r>
        <w:t xml:space="preserve"> in US law</w:t>
      </w:r>
      <w:r>
        <w:rPr>
          <w:rStyle w:val="FootnoteReference"/>
        </w:rPr>
        <w:footnoteReference w:id="3"/>
      </w:r>
      <w:r>
        <w:t xml:space="preserve"> and </w:t>
      </w:r>
      <w:r w:rsidR="00B02B65">
        <w:t xml:space="preserve">as well in </w:t>
      </w:r>
      <w:r>
        <w:t>Canadian law</w:t>
      </w:r>
      <w:r w:rsidR="00644610">
        <w:rPr>
          <w:rStyle w:val="FootnoteReference"/>
        </w:rPr>
        <w:footnoteReference w:id="4"/>
      </w:r>
      <w:r>
        <w:t xml:space="preserve">, merely holding a dominant position – having market power – is not challengeable (as it would be, for instance in the merger context).  For a remedy to </w:t>
      </w:r>
      <w:proofErr w:type="gramStart"/>
      <w:r>
        <w:t>be granted</w:t>
      </w:r>
      <w:proofErr w:type="gramEnd"/>
      <w:r>
        <w:t xml:space="preserve"> with respect to abuse of dominance there must be dominance, but also anti-competitive conduct.</w:t>
      </w:r>
    </w:p>
    <w:p w:rsidR="00400D1B" w:rsidRPr="00B1529F" w:rsidRDefault="00400D1B" w:rsidP="000107A2">
      <w:pPr>
        <w:pStyle w:val="ONEBodyText"/>
      </w:pPr>
      <w:r>
        <w:t>So, abuse of dominance falls on a spectrum between mergers (where</w:t>
      </w:r>
      <w:r w:rsidR="003B0A14">
        <w:t xml:space="preserve"> acquiring</w:t>
      </w:r>
      <w:r>
        <w:t xml:space="preserve"> market power alone leads to a remedy) and cartels (where conduct </w:t>
      </w:r>
      <w:r w:rsidR="003B0A14">
        <w:t>alone</w:t>
      </w:r>
      <w:r>
        <w:t xml:space="preserve"> leads to a remedy).  For </w:t>
      </w:r>
      <w:r w:rsidR="003B0A14">
        <w:t>unilateral conduct/monopolization/abuse of dominance</w:t>
      </w:r>
      <w:r w:rsidR="00B1529F">
        <w:t xml:space="preserve">, both market power and conduct is required.  </w:t>
      </w:r>
      <w:r w:rsidR="002247E8">
        <w:t>Consequently</w:t>
      </w:r>
      <w:r w:rsidR="00B1529F">
        <w:t xml:space="preserve">, one might expect some </w:t>
      </w:r>
      <w:r w:rsidR="003B0A14">
        <w:t>amalgam</w:t>
      </w:r>
      <w:r w:rsidR="00B1529F">
        <w:t xml:space="preserve"> of structural and behavioural remedies to </w:t>
      </w:r>
      <w:proofErr w:type="gramStart"/>
      <w:r w:rsidR="00B1529F">
        <w:t>be employed</w:t>
      </w:r>
      <w:proofErr w:type="gramEnd"/>
      <w:r w:rsidR="00B1529F">
        <w:t>.  In this brief paper</w:t>
      </w:r>
      <w:r w:rsidR="00112321">
        <w:t>,</w:t>
      </w:r>
      <w:r w:rsidR="00B1529F">
        <w:t xml:space="preserve"> we explore this issue under the Canadian </w:t>
      </w:r>
      <w:r w:rsidR="00B1529F">
        <w:rPr>
          <w:i/>
        </w:rPr>
        <w:t>Competition Act</w:t>
      </w:r>
      <w:r w:rsidR="00B1529F">
        <w:t>.</w:t>
      </w:r>
    </w:p>
    <w:p w:rsidR="000377F4" w:rsidRDefault="000377F4" w:rsidP="000107A2">
      <w:pPr>
        <w:pStyle w:val="ListParagraph"/>
        <w:numPr>
          <w:ilvl w:val="0"/>
          <w:numId w:val="17"/>
        </w:numPr>
        <w:rPr>
          <w:rFonts w:ascii="Times New Roman Bold" w:hAnsi="Times New Roman Bold"/>
          <w:b/>
          <w:caps/>
        </w:rPr>
      </w:pPr>
      <w:r w:rsidRPr="00CD1F3C">
        <w:rPr>
          <w:rFonts w:ascii="Times New Roman Bold" w:hAnsi="Times New Roman Bold"/>
          <w:b/>
          <w:caps/>
        </w:rPr>
        <w:t>Key Statutory Provisions</w:t>
      </w:r>
    </w:p>
    <w:p w:rsidR="001A3DEB" w:rsidRDefault="000377F4" w:rsidP="000107A2">
      <w:pPr>
        <w:pStyle w:val="ONEBodyText"/>
        <w:rPr>
          <w:lang w:val="en-US"/>
        </w:rPr>
      </w:pPr>
      <w:r>
        <w:rPr>
          <w:lang w:val="en-US"/>
        </w:rPr>
        <w:t>Canada’s principal unilate</w:t>
      </w:r>
      <w:r w:rsidR="003B0A14">
        <w:rPr>
          <w:lang w:val="en-US"/>
        </w:rPr>
        <w:t xml:space="preserve">ral conduct/monopolization rule – </w:t>
      </w:r>
      <w:r>
        <w:rPr>
          <w:lang w:val="en-US"/>
        </w:rPr>
        <w:t xml:space="preserve">called abuse of dominant market position, but in many respects closer in substance to US monopolization law under Section 2 of the </w:t>
      </w:r>
      <w:r w:rsidRPr="00D53EB2">
        <w:rPr>
          <w:i/>
          <w:lang w:val="en-US"/>
        </w:rPr>
        <w:t>Sherman Act</w:t>
      </w:r>
      <w:r>
        <w:rPr>
          <w:rStyle w:val="FootnoteReference"/>
          <w:lang w:val="en-US"/>
        </w:rPr>
        <w:footnoteReference w:id="5"/>
      </w:r>
      <w:r w:rsidR="001A3DEB">
        <w:rPr>
          <w:lang w:val="en-US"/>
        </w:rPr>
        <w:t xml:space="preserve"> </w:t>
      </w:r>
      <w:r w:rsidR="003B0A14">
        <w:rPr>
          <w:lang w:val="en-US"/>
        </w:rPr>
        <w:t>th</w:t>
      </w:r>
      <w:r w:rsidR="000D283D">
        <w:rPr>
          <w:lang w:val="en-US"/>
        </w:rPr>
        <w:t>a</w:t>
      </w:r>
      <w:r w:rsidR="003B0A14">
        <w:rPr>
          <w:lang w:val="en-US"/>
        </w:rPr>
        <w:t xml:space="preserve">n </w:t>
      </w:r>
      <w:r w:rsidR="001A3DEB">
        <w:rPr>
          <w:lang w:val="en-US"/>
        </w:rPr>
        <w:t>to the EU Abuse of Dominance Law under Section 102 of</w:t>
      </w:r>
      <w:r w:rsidR="00B02B65">
        <w:rPr>
          <w:lang w:val="en-US"/>
        </w:rPr>
        <w:t xml:space="preserve"> the EU Treaty</w:t>
      </w:r>
      <w:r w:rsidR="00387F2F" w:rsidRPr="00387F2F">
        <w:rPr>
          <w:rStyle w:val="FootnoteReference"/>
          <w:lang w:val="en-US"/>
        </w:rPr>
        <w:t xml:space="preserve"> </w:t>
      </w:r>
      <w:r w:rsidR="00387F2F">
        <w:rPr>
          <w:rStyle w:val="FootnoteReference"/>
          <w:lang w:val="en-US"/>
        </w:rPr>
        <w:footnoteReference w:id="6"/>
      </w:r>
      <w:r w:rsidR="001A3DEB">
        <w:rPr>
          <w:b/>
          <w:lang w:val="en-US"/>
        </w:rPr>
        <w:t xml:space="preserve"> </w:t>
      </w:r>
      <w:r w:rsidR="000D283D">
        <w:rPr>
          <w:b/>
          <w:lang w:val="en-US"/>
        </w:rPr>
        <w:t xml:space="preserve">– </w:t>
      </w:r>
      <w:proofErr w:type="gramStart"/>
      <w:r w:rsidR="001A3DEB">
        <w:rPr>
          <w:lang w:val="en-US"/>
        </w:rPr>
        <w:t>is found</w:t>
      </w:r>
      <w:proofErr w:type="gramEnd"/>
      <w:r w:rsidR="001A3DEB">
        <w:rPr>
          <w:lang w:val="en-US"/>
        </w:rPr>
        <w:t xml:space="preserve"> in Section 78 and 79 of the </w:t>
      </w:r>
      <w:r w:rsidR="001A3DEB">
        <w:rPr>
          <w:i/>
          <w:lang w:val="en-US"/>
        </w:rPr>
        <w:t>Competition Act</w:t>
      </w:r>
      <w:r w:rsidR="001A3DEB">
        <w:rPr>
          <w:lang w:val="en-US"/>
        </w:rPr>
        <w:t>.  Section 78 sets out an illustrati</w:t>
      </w:r>
      <w:r w:rsidR="003B0A14">
        <w:rPr>
          <w:lang w:val="en-US"/>
        </w:rPr>
        <w:t>ve</w:t>
      </w:r>
      <w:r w:rsidR="001A3DEB">
        <w:rPr>
          <w:lang w:val="en-US"/>
        </w:rPr>
        <w:t xml:space="preserve"> but not exhaustive list of anti-competitive acts.</w:t>
      </w:r>
      <w:r w:rsidR="001A3DEB">
        <w:rPr>
          <w:rStyle w:val="FootnoteReference"/>
          <w:lang w:val="en-US"/>
        </w:rPr>
        <w:footnoteReference w:id="7"/>
      </w:r>
      <w:r w:rsidR="00004239">
        <w:rPr>
          <w:lang w:val="en-US"/>
        </w:rPr>
        <w:t xml:space="preserve">  </w:t>
      </w:r>
      <w:r w:rsidR="001A3DEB">
        <w:rPr>
          <w:lang w:val="en-US"/>
        </w:rPr>
        <w:t xml:space="preserve">Section 79(1) of the </w:t>
      </w:r>
      <w:r w:rsidR="001A3DEB" w:rsidRPr="00502851">
        <w:rPr>
          <w:i/>
          <w:lang w:val="en-US"/>
        </w:rPr>
        <w:t>Act</w:t>
      </w:r>
      <w:r w:rsidR="00502851" w:rsidRPr="00502851">
        <w:rPr>
          <w:rStyle w:val="FootnoteReference"/>
          <w:lang w:val="en-US"/>
        </w:rPr>
        <w:footnoteReference w:id="8"/>
      </w:r>
      <w:r w:rsidR="001A3DEB">
        <w:rPr>
          <w:lang w:val="en-US"/>
        </w:rPr>
        <w:t xml:space="preserve"> </w:t>
      </w:r>
      <w:r w:rsidR="000D283D">
        <w:rPr>
          <w:lang w:val="en-US"/>
        </w:rPr>
        <w:t>establishes</w:t>
      </w:r>
      <w:r w:rsidR="001A3DEB">
        <w:rPr>
          <w:lang w:val="en-US"/>
        </w:rPr>
        <w:t xml:space="preserve"> the </w:t>
      </w:r>
      <w:r w:rsidR="00387F2F">
        <w:rPr>
          <w:lang w:val="en-US"/>
        </w:rPr>
        <w:t>heart of the abuse of dominance provision, laying out the three requirements for an order</w:t>
      </w:r>
      <w:r w:rsidR="000A1601">
        <w:rPr>
          <w:lang w:val="en-US"/>
        </w:rPr>
        <w:t>:</w:t>
      </w:r>
    </w:p>
    <w:p w:rsidR="000377F4" w:rsidRPr="002B2330" w:rsidRDefault="000377F4" w:rsidP="000107A2">
      <w:pPr>
        <w:pStyle w:val="ONEQuote"/>
        <w:rPr>
          <w:lang w:val="en-US"/>
        </w:rPr>
      </w:pPr>
      <w:r w:rsidRPr="002B2330">
        <w:rPr>
          <w:bCs/>
          <w:color w:val="000000"/>
          <w:lang w:val="en-US"/>
        </w:rPr>
        <w:t>(a)</w:t>
      </w:r>
      <w:r w:rsidRPr="002B2330">
        <w:rPr>
          <w:lang w:val="en-US"/>
        </w:rPr>
        <w:t> </w:t>
      </w:r>
      <w:proofErr w:type="gramStart"/>
      <w:r w:rsidRPr="002B2330">
        <w:rPr>
          <w:lang w:val="en-US"/>
        </w:rPr>
        <w:t>one</w:t>
      </w:r>
      <w:proofErr w:type="gramEnd"/>
      <w:r w:rsidRPr="002B2330">
        <w:rPr>
          <w:lang w:val="en-US"/>
        </w:rPr>
        <w:t xml:space="preserve"> or more persons substantially or completely control, throughout Canada or any area thereof, a class or species of business,</w:t>
      </w:r>
    </w:p>
    <w:p w:rsidR="000377F4" w:rsidRPr="002B2330" w:rsidRDefault="000377F4" w:rsidP="000107A2">
      <w:pPr>
        <w:pStyle w:val="ONEQuote"/>
        <w:rPr>
          <w:lang w:val="en-US"/>
        </w:rPr>
      </w:pPr>
      <w:r w:rsidRPr="002B2330">
        <w:rPr>
          <w:bCs/>
          <w:color w:val="000000"/>
          <w:lang w:val="en-US"/>
        </w:rPr>
        <w:t>(b)</w:t>
      </w:r>
      <w:r w:rsidRPr="002B2330">
        <w:rPr>
          <w:lang w:val="en-US"/>
        </w:rPr>
        <w:t> </w:t>
      </w:r>
      <w:proofErr w:type="gramStart"/>
      <w:r w:rsidRPr="002B2330">
        <w:rPr>
          <w:lang w:val="en-US"/>
        </w:rPr>
        <w:t>that</w:t>
      </w:r>
      <w:proofErr w:type="gramEnd"/>
      <w:r w:rsidRPr="002B2330">
        <w:rPr>
          <w:lang w:val="en-US"/>
        </w:rPr>
        <w:t xml:space="preserve"> person or those persons have engaged in or are engaging in a practice of anti-competitive acts, and</w:t>
      </w:r>
    </w:p>
    <w:p w:rsidR="000377F4" w:rsidRPr="002B2330" w:rsidRDefault="000377F4" w:rsidP="000107A2">
      <w:pPr>
        <w:pStyle w:val="ONEQuote"/>
        <w:rPr>
          <w:lang w:val="en-US"/>
        </w:rPr>
      </w:pPr>
      <w:r w:rsidRPr="002B2330">
        <w:rPr>
          <w:bCs/>
          <w:color w:val="000000"/>
          <w:lang w:val="en-US"/>
        </w:rPr>
        <w:t>(c)</w:t>
      </w:r>
      <w:r w:rsidRPr="002B2330">
        <w:rPr>
          <w:lang w:val="en-US"/>
        </w:rPr>
        <w:t> </w:t>
      </w:r>
      <w:proofErr w:type="gramStart"/>
      <w:r w:rsidRPr="002B2330">
        <w:rPr>
          <w:lang w:val="en-US"/>
        </w:rPr>
        <w:t>the</w:t>
      </w:r>
      <w:proofErr w:type="gramEnd"/>
      <w:r w:rsidRPr="002B2330">
        <w:rPr>
          <w:lang w:val="en-US"/>
        </w:rPr>
        <w:t xml:space="preserve"> practice has had, is having or is likely to have the effect of preventing or lessening competition substantially in a market,</w:t>
      </w:r>
    </w:p>
    <w:p w:rsidR="001A3DEB" w:rsidRDefault="003B0A14" w:rsidP="000107A2">
      <w:pPr>
        <w:pStyle w:val="ONEBodyText"/>
        <w:rPr>
          <w:lang w:val="en-US"/>
        </w:rPr>
      </w:pPr>
      <w:r>
        <w:rPr>
          <w:lang w:val="en-US"/>
        </w:rPr>
        <w:t xml:space="preserve">Section 79(1) </w:t>
      </w:r>
      <w:r w:rsidR="001A3DEB">
        <w:rPr>
          <w:lang w:val="en-US"/>
        </w:rPr>
        <w:t xml:space="preserve">then goes on to establish the </w:t>
      </w:r>
      <w:r>
        <w:rPr>
          <w:lang w:val="en-US"/>
        </w:rPr>
        <w:t xml:space="preserve">primary </w:t>
      </w:r>
      <w:r w:rsidR="001A3DEB">
        <w:rPr>
          <w:lang w:val="en-US"/>
        </w:rPr>
        <w:t>remed</w:t>
      </w:r>
      <w:r>
        <w:rPr>
          <w:lang w:val="en-US"/>
        </w:rPr>
        <w:t>y</w:t>
      </w:r>
      <w:r w:rsidR="000A1601">
        <w:rPr>
          <w:lang w:val="en-US"/>
        </w:rPr>
        <w:t>:</w:t>
      </w:r>
    </w:p>
    <w:p w:rsidR="000377F4" w:rsidRPr="002B2330" w:rsidRDefault="000377F4" w:rsidP="000107A2">
      <w:pPr>
        <w:pStyle w:val="ONEQuote"/>
        <w:rPr>
          <w:lang w:val="en-US"/>
        </w:rPr>
      </w:pPr>
      <w:proofErr w:type="gramStart"/>
      <w:r w:rsidRPr="002B2330">
        <w:rPr>
          <w:lang w:val="en-US"/>
        </w:rPr>
        <w:t>the</w:t>
      </w:r>
      <w:proofErr w:type="gramEnd"/>
      <w:r w:rsidRPr="002B2330">
        <w:rPr>
          <w:lang w:val="en-US"/>
        </w:rPr>
        <w:t xml:space="preserve"> Tribunal may make an order </w:t>
      </w:r>
      <w:r w:rsidRPr="000D283D">
        <w:rPr>
          <w:u w:val="single"/>
          <w:lang w:val="en-US"/>
        </w:rPr>
        <w:t>prohibiting all or any of those persons from engaging in that practice</w:t>
      </w:r>
      <w:r w:rsidRPr="002B2330">
        <w:rPr>
          <w:lang w:val="en-US"/>
        </w:rPr>
        <w:t>.</w:t>
      </w:r>
      <w:r w:rsidR="000D283D">
        <w:rPr>
          <w:lang w:val="en-US"/>
        </w:rPr>
        <w:t xml:space="preserve"> (Emphasis added)</w:t>
      </w:r>
    </w:p>
    <w:p w:rsidR="000377F4" w:rsidRPr="002B2330" w:rsidRDefault="003B0A14" w:rsidP="000107A2">
      <w:pPr>
        <w:pStyle w:val="ONEBodyText"/>
        <w:rPr>
          <w:lang w:val="en-US"/>
        </w:rPr>
      </w:pPr>
      <w:r>
        <w:rPr>
          <w:lang w:val="en-US"/>
        </w:rPr>
        <w:t>Subsection</w:t>
      </w:r>
      <w:r w:rsidR="00BF4EB6">
        <w:rPr>
          <w:lang w:val="en-US"/>
        </w:rPr>
        <w:t>s</w:t>
      </w:r>
      <w:r>
        <w:rPr>
          <w:lang w:val="en-US"/>
        </w:rPr>
        <w:t xml:space="preserve"> 79(2), (3) and (3.1) provide for the possibility of additional</w:t>
      </w:r>
      <w:r w:rsidR="00387F2F">
        <w:rPr>
          <w:lang w:val="en-US"/>
        </w:rPr>
        <w:t xml:space="preserve"> or ancillary</w:t>
      </w:r>
      <w:r>
        <w:rPr>
          <w:lang w:val="en-US"/>
        </w:rPr>
        <w:t xml:space="preserve"> orders</w:t>
      </w:r>
      <w:r w:rsidR="000A1601">
        <w:rPr>
          <w:lang w:val="en-US"/>
        </w:rPr>
        <w:t>:</w:t>
      </w:r>
    </w:p>
    <w:p w:rsidR="000377F4" w:rsidRPr="002B2330" w:rsidRDefault="000377F4" w:rsidP="000107A2">
      <w:pPr>
        <w:pStyle w:val="ONEQuote"/>
        <w:rPr>
          <w:lang w:val="en-US"/>
        </w:rPr>
      </w:pPr>
      <w:proofErr w:type="gramStart"/>
      <w:r w:rsidRPr="002B2330">
        <w:rPr>
          <w:bCs/>
          <w:color w:val="000000"/>
          <w:lang w:val="en-US"/>
        </w:rPr>
        <w:t>(2)</w:t>
      </w:r>
      <w:r w:rsidRPr="002B2330">
        <w:rPr>
          <w:lang w:val="en-US"/>
        </w:rPr>
        <w:t> Where, on an application under subsection (1), the Tribunal finds that a practice of anti-competitive acts has had or is having the effect of preventing or lessening competition substantially in a market and that an order under subsection (1) is not likely to restore competition in that market, the Tribunal may, in addition to or in lieu of making an order under subsection (1), make an order directing any or all the persons against whom an order is sought to take such actions, including the divestiture of assets or shares, as are reasonable and as are necessary to overcome the effects of the practice in that market.</w:t>
      </w:r>
      <w:proofErr w:type="gramEnd"/>
    </w:p>
    <w:p w:rsidR="000377F4" w:rsidRPr="002B2330" w:rsidRDefault="000377F4" w:rsidP="000107A2">
      <w:pPr>
        <w:pStyle w:val="ONEQuote"/>
        <w:rPr>
          <w:lang w:val="en-US"/>
        </w:rPr>
      </w:pPr>
      <w:r w:rsidRPr="002B2330">
        <w:rPr>
          <w:bCs/>
          <w:color w:val="000000"/>
          <w:lang w:val="en-US"/>
        </w:rPr>
        <w:t>(3)</w:t>
      </w:r>
      <w:r w:rsidRPr="002B2330">
        <w:rPr>
          <w:lang w:val="en-US"/>
        </w:rPr>
        <w:t xml:space="preserve"> In making an order under subsection (2), the Tribunal shall make the order in such terms as </w:t>
      </w:r>
      <w:proofErr w:type="gramStart"/>
      <w:r w:rsidRPr="002B2330">
        <w:rPr>
          <w:lang w:val="en-US"/>
        </w:rPr>
        <w:t>will in its opinion interfere</w:t>
      </w:r>
      <w:proofErr w:type="gramEnd"/>
      <w:r w:rsidRPr="002B2330">
        <w:rPr>
          <w:lang w:val="en-US"/>
        </w:rPr>
        <w:t xml:space="preserve"> with the rights of any person to whom the order is directed or any other person affected by it only to the extent necessary to achieve the purpose of the order.</w:t>
      </w:r>
    </w:p>
    <w:p w:rsidR="000377F4" w:rsidRPr="002B2330" w:rsidRDefault="000377F4" w:rsidP="000107A2">
      <w:pPr>
        <w:pStyle w:val="ONEQuote"/>
        <w:rPr>
          <w:lang w:val="en-US"/>
        </w:rPr>
      </w:pPr>
      <w:r w:rsidRPr="002B2330">
        <w:rPr>
          <w:bCs/>
          <w:color w:val="000000"/>
          <w:lang w:val="en-US"/>
        </w:rPr>
        <w:t>(3.1)</w:t>
      </w:r>
      <w:r w:rsidRPr="002B2330">
        <w:rPr>
          <w:lang w:val="en-US"/>
        </w:rPr>
        <w:t> If the Tribunal makes an order against a person under subsection (1) or (2), it may also order them to pay, in any manner that the Tribunal specifies, an administrative monetary penalty in an amount not exceeding $10,000,000 and, for each subsequent order under either of those subsections, an amount not exceeding $15,000,000.</w:t>
      </w:r>
    </w:p>
    <w:p w:rsidR="00B1529F" w:rsidRDefault="00B1529F" w:rsidP="000107A2">
      <w:pPr>
        <w:pStyle w:val="ONEBodyText"/>
        <w:rPr>
          <w:lang w:val="en-US"/>
        </w:rPr>
      </w:pPr>
      <w:r>
        <w:rPr>
          <w:lang w:val="en-US"/>
        </w:rPr>
        <w:t>Thus, it is clear that the primary remedy for abuse of dominance is a prohibition order with respect to the challenged conduct</w:t>
      </w:r>
      <w:r w:rsidR="003B0A14">
        <w:rPr>
          <w:lang w:val="en-US"/>
        </w:rPr>
        <w:t>:</w:t>
      </w:r>
      <w:r>
        <w:rPr>
          <w:lang w:val="en-US"/>
        </w:rPr>
        <w:t xml:space="preserve"> “that practice”.</w:t>
      </w:r>
    </w:p>
    <w:p w:rsidR="00B1529F" w:rsidRDefault="00B1529F" w:rsidP="000107A2">
      <w:pPr>
        <w:pStyle w:val="ONEBodyText"/>
        <w:rPr>
          <w:lang w:val="en-US"/>
        </w:rPr>
      </w:pPr>
      <w:proofErr w:type="gramStart"/>
      <w:r>
        <w:rPr>
          <w:lang w:val="en-US"/>
        </w:rPr>
        <w:t>If, however, such order is not likely to rest</w:t>
      </w:r>
      <w:r w:rsidR="003B0A14">
        <w:rPr>
          <w:lang w:val="en-US"/>
        </w:rPr>
        <w:t>ore</w:t>
      </w:r>
      <w:r>
        <w:rPr>
          <w:lang w:val="en-US"/>
        </w:rPr>
        <w:t xml:space="preserve"> competition, then the Tribunal may make add</w:t>
      </w:r>
      <w:r w:rsidR="00E41E27">
        <w:rPr>
          <w:lang w:val="en-US"/>
        </w:rPr>
        <w:t>itional orders</w:t>
      </w:r>
      <w:r w:rsidR="00387F2F">
        <w:rPr>
          <w:lang w:val="en-US"/>
        </w:rPr>
        <w:t xml:space="preserve"> – </w:t>
      </w:r>
      <w:r w:rsidR="00E41E27">
        <w:rPr>
          <w:lang w:val="en-US"/>
        </w:rPr>
        <w:t xml:space="preserve">including </w:t>
      </w:r>
      <w:r w:rsidR="00004239">
        <w:rPr>
          <w:lang w:val="en-US"/>
        </w:rPr>
        <w:t xml:space="preserve">requiring </w:t>
      </w:r>
      <w:r w:rsidR="00E41E27">
        <w:rPr>
          <w:lang w:val="en-US"/>
        </w:rPr>
        <w:t xml:space="preserve">the </w:t>
      </w:r>
      <w:r w:rsidR="003B0A14">
        <w:rPr>
          <w:lang w:val="en-US"/>
        </w:rPr>
        <w:t>divestiture of assets</w:t>
      </w:r>
      <w:r w:rsidR="00E41E27">
        <w:rPr>
          <w:lang w:val="en-US"/>
        </w:rPr>
        <w:t xml:space="preserve"> or s</w:t>
      </w:r>
      <w:r w:rsidR="003B0A14">
        <w:rPr>
          <w:lang w:val="en-US"/>
        </w:rPr>
        <w:t>hares</w:t>
      </w:r>
      <w:r w:rsidR="00E41E27">
        <w:rPr>
          <w:lang w:val="en-US"/>
        </w:rPr>
        <w:t xml:space="preserve"> – but may only</w:t>
      </w:r>
      <w:r w:rsidR="003B0A14">
        <w:rPr>
          <w:lang w:val="en-US"/>
        </w:rPr>
        <w:t xml:space="preserve"> do so if the primary injunctive relief is </w:t>
      </w:r>
      <w:r w:rsidR="00387F2F">
        <w:rPr>
          <w:lang w:val="en-US"/>
        </w:rPr>
        <w:t xml:space="preserve">alone </w:t>
      </w:r>
      <w:r w:rsidR="003B0A14">
        <w:rPr>
          <w:lang w:val="en-US"/>
        </w:rPr>
        <w:t>unlikely to succeed</w:t>
      </w:r>
      <w:r w:rsidR="00387F2F">
        <w:rPr>
          <w:lang w:val="en-US"/>
        </w:rPr>
        <w:t xml:space="preserve"> in restoring competition,</w:t>
      </w:r>
      <w:r w:rsidR="003B0A14">
        <w:rPr>
          <w:lang w:val="en-US"/>
        </w:rPr>
        <w:t xml:space="preserve"> and then only in a way which </w:t>
      </w:r>
      <w:r w:rsidR="00E41E27">
        <w:rPr>
          <w:lang w:val="en-US"/>
        </w:rPr>
        <w:t>interfere</w:t>
      </w:r>
      <w:r w:rsidR="003B0A14">
        <w:rPr>
          <w:lang w:val="en-US"/>
        </w:rPr>
        <w:t>s</w:t>
      </w:r>
      <w:r w:rsidR="00E41E27">
        <w:rPr>
          <w:lang w:val="en-US"/>
        </w:rPr>
        <w:t xml:space="preserve"> with </w:t>
      </w:r>
      <w:r w:rsidR="00D86AEE">
        <w:rPr>
          <w:lang w:val="en-US"/>
        </w:rPr>
        <w:t xml:space="preserve">the </w:t>
      </w:r>
      <w:r w:rsidR="00E41E27">
        <w:rPr>
          <w:lang w:val="en-US"/>
        </w:rPr>
        <w:t>rights</w:t>
      </w:r>
      <w:r w:rsidR="003B0A14">
        <w:rPr>
          <w:lang w:val="en-US"/>
        </w:rPr>
        <w:t xml:space="preserve"> of persons affected</w:t>
      </w:r>
      <w:r w:rsidR="00E41E27">
        <w:rPr>
          <w:lang w:val="en-US"/>
        </w:rPr>
        <w:t xml:space="preserve"> to the minimum extent necessary.</w:t>
      </w:r>
      <w:proofErr w:type="gramEnd"/>
    </w:p>
    <w:p w:rsidR="00E41E27" w:rsidRPr="002B2330" w:rsidRDefault="00E41E27" w:rsidP="000107A2">
      <w:pPr>
        <w:pStyle w:val="ONEBodyText"/>
        <w:rPr>
          <w:lang w:val="en-US"/>
        </w:rPr>
      </w:pPr>
      <w:r>
        <w:rPr>
          <w:lang w:val="en-US"/>
        </w:rPr>
        <w:t>As of 2009</w:t>
      </w:r>
      <w:r w:rsidR="00D86AEE">
        <w:rPr>
          <w:lang w:val="en-US"/>
        </w:rPr>
        <w:t>,</w:t>
      </w:r>
      <w:r>
        <w:rPr>
          <w:lang w:val="en-US"/>
        </w:rPr>
        <w:t xml:space="preserve"> Parliament created a new remedy – Administrative Monetary Penalties</w:t>
      </w:r>
      <w:r w:rsidR="003B0A14">
        <w:rPr>
          <w:lang w:val="en-US"/>
        </w:rPr>
        <w:t xml:space="preserve"> (AMPs)</w:t>
      </w:r>
      <w:r>
        <w:rPr>
          <w:lang w:val="en-US"/>
        </w:rPr>
        <w:t xml:space="preserve"> – up to $10M (</w:t>
      </w:r>
      <w:proofErr w:type="spellStart"/>
      <w:r>
        <w:rPr>
          <w:lang w:val="en-US"/>
        </w:rPr>
        <w:t>Cdn</w:t>
      </w:r>
      <w:proofErr w:type="spellEnd"/>
      <w:r>
        <w:rPr>
          <w:lang w:val="en-US"/>
        </w:rPr>
        <w:t>)</w:t>
      </w:r>
      <w:r w:rsidR="00387F2F">
        <w:rPr>
          <w:lang w:val="en-US"/>
        </w:rPr>
        <w:t>,</w:t>
      </w:r>
      <w:r w:rsidR="003B0A14">
        <w:rPr>
          <w:lang w:val="en-US"/>
        </w:rPr>
        <w:t xml:space="preserve"> </w:t>
      </w:r>
      <w:r>
        <w:rPr>
          <w:lang w:val="en-US"/>
        </w:rPr>
        <w:t xml:space="preserve">or $15M for repeated conduct.  </w:t>
      </w:r>
      <w:r w:rsidR="00004239">
        <w:rPr>
          <w:lang w:val="en-US"/>
        </w:rPr>
        <w:t>T</w:t>
      </w:r>
      <w:r>
        <w:rPr>
          <w:lang w:val="en-US"/>
        </w:rPr>
        <w:t xml:space="preserve">he provision with respect to AMPs </w:t>
      </w:r>
      <w:r w:rsidR="003B0A14">
        <w:rPr>
          <w:lang w:val="en-US"/>
        </w:rPr>
        <w:t>does</w:t>
      </w:r>
      <w:r>
        <w:rPr>
          <w:lang w:val="en-US"/>
        </w:rPr>
        <w:t xml:space="preserve"> </w:t>
      </w:r>
      <w:r w:rsidRPr="008A7233">
        <w:rPr>
          <w:u w:val="single"/>
          <w:lang w:val="en-US"/>
        </w:rPr>
        <w:t>not</w:t>
      </w:r>
      <w:r>
        <w:rPr>
          <w:lang w:val="en-US"/>
        </w:rPr>
        <w:t xml:space="preserve"> contain a requirement that such </w:t>
      </w:r>
      <w:r w:rsidR="00387F2F">
        <w:rPr>
          <w:lang w:val="en-US"/>
        </w:rPr>
        <w:t>remedy</w:t>
      </w:r>
      <w:r>
        <w:rPr>
          <w:lang w:val="en-US"/>
        </w:rPr>
        <w:t xml:space="preserve"> not be imposed unless necessary to </w:t>
      </w:r>
      <w:r w:rsidR="008A7233">
        <w:rPr>
          <w:lang w:val="en-US"/>
        </w:rPr>
        <w:t>achieve</w:t>
      </w:r>
      <w:r>
        <w:rPr>
          <w:lang w:val="en-US"/>
        </w:rPr>
        <w:t xml:space="preserve"> the purpose of the order in </w:t>
      </w:r>
      <w:r w:rsidR="008A7233">
        <w:rPr>
          <w:lang w:val="en-US"/>
        </w:rPr>
        <w:t>subsection</w:t>
      </w:r>
      <w:r>
        <w:rPr>
          <w:lang w:val="en-US"/>
        </w:rPr>
        <w:t xml:space="preserve"> 79(1).  While the $10M AMP is only a decade old</w:t>
      </w:r>
      <w:r w:rsidR="00004239">
        <w:rPr>
          <w:lang w:val="en-US"/>
        </w:rPr>
        <w:t xml:space="preserve">, </w:t>
      </w:r>
      <w:r>
        <w:rPr>
          <w:lang w:val="en-US"/>
        </w:rPr>
        <w:t xml:space="preserve">and </w:t>
      </w:r>
      <w:proofErr w:type="gramStart"/>
      <w:r>
        <w:rPr>
          <w:lang w:val="en-US"/>
        </w:rPr>
        <w:t xml:space="preserve">has </w:t>
      </w:r>
      <w:r w:rsidR="00B02B65">
        <w:rPr>
          <w:lang w:val="en-US"/>
        </w:rPr>
        <w:t>never</w:t>
      </w:r>
      <w:r>
        <w:rPr>
          <w:lang w:val="en-US"/>
        </w:rPr>
        <w:t xml:space="preserve"> been imposed</w:t>
      </w:r>
      <w:proofErr w:type="gramEnd"/>
      <w:r>
        <w:rPr>
          <w:lang w:val="en-US"/>
        </w:rPr>
        <w:t xml:space="preserve"> in a </w:t>
      </w:r>
      <w:r w:rsidR="008A7233">
        <w:rPr>
          <w:lang w:val="en-US"/>
        </w:rPr>
        <w:t>contested</w:t>
      </w:r>
      <w:r w:rsidR="00B02B65">
        <w:rPr>
          <w:lang w:val="en-US"/>
        </w:rPr>
        <w:t xml:space="preserve"> abuse of dominance case</w:t>
      </w:r>
      <w:r w:rsidR="00644610">
        <w:rPr>
          <w:lang w:val="en-US"/>
        </w:rPr>
        <w:t>, n</w:t>
      </w:r>
      <w:r w:rsidR="00B02B65">
        <w:rPr>
          <w:lang w:val="en-US"/>
        </w:rPr>
        <w:t>evertheless</w:t>
      </w:r>
      <w:r>
        <w:rPr>
          <w:lang w:val="en-US"/>
        </w:rPr>
        <w:t xml:space="preserve"> the Commissioner of Competition recently called for </w:t>
      </w:r>
      <w:r w:rsidR="00B02B65">
        <w:rPr>
          <w:lang w:val="en-US"/>
        </w:rPr>
        <w:t>an</w:t>
      </w:r>
      <w:r>
        <w:rPr>
          <w:lang w:val="en-US"/>
        </w:rPr>
        <w:t xml:space="preserve"> increase</w:t>
      </w:r>
      <w:r w:rsidR="00B02B65">
        <w:rPr>
          <w:lang w:val="en-US"/>
        </w:rPr>
        <w:t xml:space="preserve"> in the maximum potential penalty</w:t>
      </w:r>
      <w:r>
        <w:rPr>
          <w:lang w:val="en-US"/>
        </w:rPr>
        <w:t>.</w:t>
      </w:r>
      <w:r>
        <w:rPr>
          <w:rStyle w:val="FootnoteReference"/>
          <w:lang w:val="en-US"/>
        </w:rPr>
        <w:footnoteReference w:id="9"/>
      </w:r>
    </w:p>
    <w:p w:rsidR="007733CC" w:rsidRDefault="007733CC" w:rsidP="000107A2">
      <w:pPr>
        <w:pStyle w:val="ListParagraph"/>
        <w:numPr>
          <w:ilvl w:val="0"/>
          <w:numId w:val="17"/>
        </w:numPr>
        <w:rPr>
          <w:rFonts w:ascii="Times New Roman Bold" w:hAnsi="Times New Roman Bold"/>
          <w:b/>
          <w:caps/>
        </w:rPr>
      </w:pPr>
      <w:r>
        <w:rPr>
          <w:rFonts w:ascii="Times New Roman Bold" w:hAnsi="Times New Roman Bold"/>
          <w:b/>
          <w:caps/>
        </w:rPr>
        <w:t>Remedy Expectations at</w:t>
      </w:r>
      <w:r w:rsidR="00644610">
        <w:rPr>
          <w:rFonts w:ascii="Times New Roman Bold" w:hAnsi="Times New Roman Bold"/>
          <w:b/>
          <w:caps/>
        </w:rPr>
        <w:t xml:space="preserve"> the</w:t>
      </w:r>
      <w:r>
        <w:rPr>
          <w:rFonts w:ascii="Times New Roman Bold" w:hAnsi="Times New Roman Bold"/>
          <w:b/>
          <w:caps/>
        </w:rPr>
        <w:t xml:space="preserve"> </w:t>
      </w:r>
      <w:r w:rsidR="00004239">
        <w:rPr>
          <w:rFonts w:ascii="Times New Roman Bold" w:hAnsi="Times New Roman Bold"/>
          <w:b/>
          <w:caps/>
        </w:rPr>
        <w:t xml:space="preserve">time </w:t>
      </w:r>
      <w:r w:rsidR="00644610">
        <w:rPr>
          <w:rFonts w:ascii="Times New Roman Bold" w:hAnsi="Times New Roman Bold"/>
          <w:b/>
          <w:caps/>
        </w:rPr>
        <w:t xml:space="preserve">the </w:t>
      </w:r>
      <w:r>
        <w:rPr>
          <w:rFonts w:ascii="Times New Roman Bold" w:hAnsi="Times New Roman Bold"/>
          <w:b/>
          <w:caps/>
        </w:rPr>
        <w:t>Abuse of Dominance Provisions</w:t>
      </w:r>
      <w:r w:rsidR="00F80A98">
        <w:rPr>
          <w:rFonts w:ascii="Times New Roman Bold" w:hAnsi="Times New Roman Bold"/>
          <w:b/>
          <w:caps/>
        </w:rPr>
        <w:t xml:space="preserve"> were established</w:t>
      </w:r>
    </w:p>
    <w:p w:rsidR="00B02B65" w:rsidRDefault="00B02B65" w:rsidP="000107A2">
      <w:pPr>
        <w:pStyle w:val="ONEBodyText"/>
      </w:pPr>
      <w:r w:rsidRPr="00B02B65">
        <w:t xml:space="preserve">As outlined above, the original remedy for Abuse of Dominance </w:t>
      </w:r>
      <w:proofErr w:type="gramStart"/>
      <w:r w:rsidRPr="00B02B65">
        <w:t>was conceived of</w:t>
      </w:r>
      <w:proofErr w:type="gramEnd"/>
      <w:r w:rsidRPr="00B02B65">
        <w:t xml:space="preserve"> as a cease and desist order, with further orders contemplating positive obligations or structural remedies only as necessary if cease and desist order</w:t>
      </w:r>
      <w:r w:rsidR="00D86AEE">
        <w:t>s</w:t>
      </w:r>
      <w:r w:rsidRPr="00B02B65">
        <w:t xml:space="preserve"> were deemed likely to be ineffective.  A monetary penalty provision was not included – and only added some </w:t>
      </w:r>
      <w:r w:rsidR="00D86AEE">
        <w:t>25</w:t>
      </w:r>
      <w:r w:rsidRPr="00B02B65">
        <w:t xml:space="preserve"> years later.</w:t>
      </w:r>
    </w:p>
    <w:p w:rsidR="00E41E27" w:rsidRDefault="00E41E27" w:rsidP="000107A2">
      <w:pPr>
        <w:pStyle w:val="ONEBodyText"/>
      </w:pPr>
      <w:proofErr w:type="gramStart"/>
      <w:r>
        <w:t xml:space="preserve">While a complete </w:t>
      </w:r>
      <w:r w:rsidR="008A7233">
        <w:t>review</w:t>
      </w:r>
      <w:r>
        <w:t xml:space="preserve"> of the original </w:t>
      </w:r>
      <w:r w:rsidR="002247E8">
        <w:t>view</w:t>
      </w:r>
      <w:r w:rsidR="008A7233">
        <w:t xml:space="preserve"> of remedies respecting monopolization at the time of the enactment of the </w:t>
      </w:r>
      <w:r w:rsidR="008A7233">
        <w:rPr>
          <w:i/>
        </w:rPr>
        <w:t xml:space="preserve">Competition </w:t>
      </w:r>
      <w:r w:rsidR="008A7233" w:rsidRPr="008A7233">
        <w:rPr>
          <w:i/>
        </w:rPr>
        <w:t>Act</w:t>
      </w:r>
      <w:r w:rsidR="008A7233">
        <w:rPr>
          <w:i/>
        </w:rPr>
        <w:t xml:space="preserve"> </w:t>
      </w:r>
      <w:r w:rsidR="008A7233">
        <w:t>in 1986</w:t>
      </w:r>
      <w:r w:rsidR="005D5617">
        <w:t xml:space="preserve"> is beyo</w:t>
      </w:r>
      <w:r w:rsidR="001A1E31">
        <w:t xml:space="preserve">nd the scope of this </w:t>
      </w:r>
      <w:r w:rsidR="00644610">
        <w:t>paper</w:t>
      </w:r>
      <w:r w:rsidR="001A1E31">
        <w:t xml:space="preserve">, we observe that in his remarks to the press when the </w:t>
      </w:r>
      <w:r w:rsidR="001A1E31">
        <w:rPr>
          <w:i/>
        </w:rPr>
        <w:t>Competition Act</w:t>
      </w:r>
      <w:r w:rsidR="001A1E31">
        <w:t xml:space="preserve"> was introduced in Parliament</w:t>
      </w:r>
      <w:r w:rsidR="00D86AEE">
        <w:t>,</w:t>
      </w:r>
      <w:r w:rsidR="001A1E31">
        <w:t xml:space="preserve"> the Minister of Consumer and Corporate Affairs noted, with respect to remedies for abuse of dominance that the “Tribunal can stop anti-competitive practices”, with no reference to any other remedies.</w:t>
      </w:r>
      <w:r w:rsidR="001A1E31">
        <w:rPr>
          <w:rStyle w:val="FootnoteReference"/>
        </w:rPr>
        <w:footnoteReference w:id="10"/>
      </w:r>
      <w:proofErr w:type="gramEnd"/>
    </w:p>
    <w:p w:rsidR="00685154" w:rsidRPr="00B02B65" w:rsidRDefault="00685154" w:rsidP="000107A2">
      <w:pPr>
        <w:pStyle w:val="ONEBodyText"/>
      </w:pPr>
      <w:r>
        <w:t xml:space="preserve">The fundamental work upon which the then “new” </w:t>
      </w:r>
      <w:r w:rsidR="00644610">
        <w:t>a</w:t>
      </w:r>
      <w:r>
        <w:t xml:space="preserve">buse of </w:t>
      </w:r>
      <w:r w:rsidR="00644610">
        <w:t>d</w:t>
      </w:r>
      <w:r>
        <w:t xml:space="preserve">ominance provision </w:t>
      </w:r>
      <w:proofErr w:type="gramStart"/>
      <w:r>
        <w:t>was based</w:t>
      </w:r>
      <w:proofErr w:type="gramEnd"/>
      <w:r>
        <w:t xml:space="preserve">, the </w:t>
      </w:r>
      <w:r w:rsidRPr="00D53EB2">
        <w:rPr>
          <w:i/>
        </w:rPr>
        <w:t>Dynamic Change Report</w:t>
      </w:r>
      <w:r w:rsidR="00D86AEE">
        <w:t>,</w:t>
      </w:r>
      <w:r w:rsidR="00004239">
        <w:rPr>
          <w:i/>
        </w:rPr>
        <w:t xml:space="preserve"> </w:t>
      </w:r>
      <w:r>
        <w:t>includ</w:t>
      </w:r>
      <w:r w:rsidR="00D86AEE">
        <w:t>ed</w:t>
      </w:r>
      <w:r>
        <w:t xml:space="preserve"> a strong bias in favour of prohibition orders over structural remedies</w:t>
      </w:r>
      <w:r w:rsidR="00B02B65">
        <w:t xml:space="preserve">.  This was so for a variety of reasons, including the </w:t>
      </w:r>
      <w:r w:rsidR="00D86AEE">
        <w:t>importance, which</w:t>
      </w:r>
      <w:r w:rsidR="00B02B65">
        <w:t xml:space="preserve"> the authors of that report, and the drafter’s of Canada’s 1986 </w:t>
      </w:r>
      <w:r w:rsidR="00B02B65">
        <w:rPr>
          <w:i/>
        </w:rPr>
        <w:t>Competition Act</w:t>
      </w:r>
      <w:r w:rsidR="00B02B65">
        <w:t xml:space="preserve"> generally</w:t>
      </w:r>
      <w:r w:rsidR="00644610">
        <w:t>,</w:t>
      </w:r>
      <w:r w:rsidR="00B02B65">
        <w:t xml:space="preserve"> placed on the goal of achieving economic efficiency</w:t>
      </w:r>
      <w:r w:rsidR="00D86AEE">
        <w:t>:</w:t>
      </w:r>
    </w:p>
    <w:p w:rsidR="00685154" w:rsidRDefault="00685154" w:rsidP="000107A2">
      <w:pPr>
        <w:pStyle w:val="ONEQuote"/>
      </w:pPr>
      <w:r>
        <w:t xml:space="preserve">The basic concern of public policy in this area is to assure so far as possible that monopoly power </w:t>
      </w:r>
      <w:proofErr w:type="gramStart"/>
      <w:r>
        <w:t>is not used</w:t>
      </w:r>
      <w:proofErr w:type="gramEnd"/>
      <w:r>
        <w:t xml:space="preserve"> in such ways as to interfere with dynamic change and with the achievement of real-cost economies.  Since the position of monopoly power is now in existence, the question </w:t>
      </w:r>
      <w:proofErr w:type="gramStart"/>
      <w:r>
        <w:t>may legitimately be raised</w:t>
      </w:r>
      <w:proofErr w:type="gramEnd"/>
      <w:r>
        <w:t xml:space="preserve"> as to whether public policy should not aim at the elimination of the base of that power.  There may be situations that call for dissolution of a firm possessing a high level of market power (or, at least, the divestiture of some parts of it), as we do propose, but, for reasons that impress us as being conclusive, such a policy is of very limited value in the arsenal of policy measures.</w:t>
      </w:r>
    </w:p>
    <w:p w:rsidR="00B02B65" w:rsidRDefault="00B02B65" w:rsidP="000107A2">
      <w:pPr>
        <w:pStyle w:val="ONEQuote"/>
      </w:pPr>
      <w:r>
        <w:t>…</w:t>
      </w:r>
    </w:p>
    <w:p w:rsidR="00685154" w:rsidRPr="00432DE0" w:rsidRDefault="00685154" w:rsidP="000107A2">
      <w:pPr>
        <w:pStyle w:val="ONEQuote"/>
      </w:pPr>
      <w:r>
        <w:t>Therefore, what we propose, in substance, is that dominant firms be prohibited fr</w:t>
      </w:r>
      <w:r w:rsidR="00306629">
        <w:t xml:space="preserve">om engaging in forms of </w:t>
      </w:r>
      <w:proofErr w:type="gramStart"/>
      <w:r w:rsidR="00306629">
        <w:t xml:space="preserve">conduct </w:t>
      </w:r>
      <w:r>
        <w:t>which</w:t>
      </w:r>
      <w:proofErr w:type="gramEnd"/>
      <w:r>
        <w:t xml:space="preserve"> constitute the abusive use of monopoly power.</w:t>
      </w:r>
      <w:r w:rsidR="00004239" w:rsidRPr="00004239">
        <w:rPr>
          <w:rStyle w:val="FootnoteReference"/>
        </w:rPr>
        <w:t xml:space="preserve"> </w:t>
      </w:r>
      <w:r w:rsidR="00004239">
        <w:rPr>
          <w:rStyle w:val="FootnoteReference"/>
        </w:rPr>
        <w:footnoteReference w:id="11"/>
      </w:r>
    </w:p>
    <w:p w:rsidR="00400D1B" w:rsidRDefault="0094766E" w:rsidP="000107A2">
      <w:pPr>
        <w:pStyle w:val="ListParagraph"/>
        <w:numPr>
          <w:ilvl w:val="0"/>
          <w:numId w:val="17"/>
        </w:numPr>
        <w:rPr>
          <w:rFonts w:ascii="Times New Roman Bold" w:hAnsi="Times New Roman Bold"/>
          <w:b/>
          <w:caps/>
        </w:rPr>
      </w:pPr>
      <w:r>
        <w:rPr>
          <w:rFonts w:ascii="Times New Roman Bold" w:hAnsi="Times New Roman Bold"/>
          <w:b/>
          <w:caps/>
        </w:rPr>
        <w:t>Merger &amp; Monopolization Remedies</w:t>
      </w:r>
      <w:r w:rsidR="000D283D">
        <w:rPr>
          <w:rFonts w:ascii="Times New Roman Bold" w:hAnsi="Times New Roman Bold"/>
          <w:b/>
          <w:caps/>
        </w:rPr>
        <w:t xml:space="preserve"> Guidance</w:t>
      </w:r>
    </w:p>
    <w:p w:rsidR="00387F2F" w:rsidRPr="00387F2F" w:rsidRDefault="00387F2F" w:rsidP="000107A2">
      <w:pPr>
        <w:pStyle w:val="Heading2"/>
      </w:pPr>
      <w:r w:rsidRPr="00387F2F">
        <w:t>Merger Guid</w:t>
      </w:r>
      <w:r w:rsidR="000D283D">
        <w:t>ance</w:t>
      </w:r>
      <w:bookmarkStart w:id="0" w:name="_GoBack"/>
      <w:bookmarkEnd w:id="0"/>
    </w:p>
    <w:p w:rsidR="008A7233" w:rsidRDefault="008A7233" w:rsidP="000107A2">
      <w:pPr>
        <w:pStyle w:val="ONEBodyText"/>
      </w:pPr>
      <w:r>
        <w:t>As noted</w:t>
      </w:r>
      <w:r w:rsidR="0094766E">
        <w:t>, the primary remedy contemplated with respect to anti-competitive mergers, particularly horizontal mergers, is structural.  In</w:t>
      </w:r>
      <w:r w:rsidR="00BF4EB6">
        <w:t xml:space="preserve"> Canada</w:t>
      </w:r>
      <w:r w:rsidR="0094766E">
        <w:t xml:space="preserve">, while the Commissioner </w:t>
      </w:r>
      <w:r>
        <w:t xml:space="preserve">of Competition </w:t>
      </w:r>
      <w:r w:rsidR="0094766E">
        <w:t xml:space="preserve">and merging parties can negotiate more </w:t>
      </w:r>
      <w:r>
        <w:t>‘creative’</w:t>
      </w:r>
      <w:r w:rsidR="0094766E">
        <w:t xml:space="preserve"> solution</w:t>
      </w:r>
      <w:r w:rsidR="00D86AEE">
        <w:t>s</w:t>
      </w:r>
      <w:r w:rsidR="0094766E">
        <w:t>, the only statutory remedy permitted under S</w:t>
      </w:r>
      <w:r>
        <w:t>ection</w:t>
      </w:r>
      <w:r w:rsidR="0094766E">
        <w:t xml:space="preserve"> 92 of the </w:t>
      </w:r>
      <w:r w:rsidR="0094766E" w:rsidRPr="00BF4EB6">
        <w:rPr>
          <w:i/>
        </w:rPr>
        <w:t>Act</w:t>
      </w:r>
      <w:r>
        <w:t>, without the consent of the parties</w:t>
      </w:r>
      <w:r w:rsidR="00387F2F">
        <w:t>,</w:t>
      </w:r>
      <w:r>
        <w:t xml:space="preserve"> is a </w:t>
      </w:r>
      <w:r w:rsidR="00387F2F">
        <w:t>prohibition order</w:t>
      </w:r>
      <w:r w:rsidR="0094766E">
        <w:t xml:space="preserve"> if the merger is not </w:t>
      </w:r>
      <w:r>
        <w:t xml:space="preserve">yet </w:t>
      </w:r>
      <w:proofErr w:type="gramStart"/>
      <w:r>
        <w:t>consummated</w:t>
      </w:r>
      <w:r w:rsidR="0094766E">
        <w:t>,</w:t>
      </w:r>
      <w:proofErr w:type="gramEnd"/>
      <w:r w:rsidR="0094766E">
        <w:t xml:space="preserve"> or the</w:t>
      </w:r>
      <w:r>
        <w:t xml:space="preserve"> disposition</w:t>
      </w:r>
      <w:r w:rsidR="0094766E">
        <w:t xml:space="preserve"> of assets or shares, or dissolution of the merger if it has</w:t>
      </w:r>
      <w:r>
        <w:t xml:space="preserve"> already</w:t>
      </w:r>
      <w:r w:rsidR="0094766E">
        <w:t xml:space="preserve"> closed.</w:t>
      </w:r>
      <w:r w:rsidR="0094766E">
        <w:rPr>
          <w:rStyle w:val="FootnoteReference"/>
        </w:rPr>
        <w:footnoteReference w:id="12"/>
      </w:r>
      <w:r w:rsidR="0094766E">
        <w:t xml:space="preserve">  In its Information Bulletin on Merger </w:t>
      </w:r>
      <w:proofErr w:type="gramStart"/>
      <w:r w:rsidR="0094766E">
        <w:t>Remedies</w:t>
      </w:r>
      <w:proofErr w:type="gramEnd"/>
      <w:r w:rsidR="0094766E">
        <w:rPr>
          <w:rStyle w:val="FootnoteReference"/>
        </w:rPr>
        <w:footnoteReference w:id="13"/>
      </w:r>
      <w:r w:rsidR="0094766E">
        <w:t xml:space="preserve"> the Canadian Competition Bureau notes:</w:t>
      </w:r>
      <w:r w:rsidR="00987A21">
        <w:t xml:space="preserve"> </w:t>
      </w:r>
    </w:p>
    <w:p w:rsidR="001656BA" w:rsidRDefault="001656BA" w:rsidP="000107A2">
      <w:pPr>
        <w:pStyle w:val="ONEQuote"/>
      </w:pPr>
      <w:proofErr w:type="gramStart"/>
      <w:r>
        <w:t>Standalone behavioural remedies are seldom accepted by the Bureau</w:t>
      </w:r>
      <w:proofErr w:type="gramEnd"/>
      <w:r>
        <w:t xml:space="preserve">.  It is difficult to design a behavioural remedy that will adequately replicate the outcomes of a competitive market.  Even if such a remedy </w:t>
      </w:r>
      <w:proofErr w:type="gramStart"/>
      <w:r>
        <w:t>can be designed</w:t>
      </w:r>
      <w:proofErr w:type="gramEnd"/>
      <w:r>
        <w:t xml:space="preserve"> in clear and workable terms, it is likely to be less effective and more difficult to enforce than a structural remedy.  Moreover, any attempt to provide for a standalone behavioural remedy usually imposes an ongoing burden on the Bureau and market participants, including the merged entity, rather than providing a permanent solution to a competition problem.</w:t>
      </w:r>
    </w:p>
    <w:p w:rsidR="00502851" w:rsidRDefault="00502851" w:rsidP="000107A2">
      <w:pPr>
        <w:pStyle w:val="ONEQuote"/>
      </w:pPr>
      <w:r>
        <w:t>…</w:t>
      </w:r>
    </w:p>
    <w:p w:rsidR="001656BA" w:rsidRDefault="001656BA" w:rsidP="000107A2">
      <w:pPr>
        <w:pStyle w:val="ONEQuote"/>
      </w:pPr>
      <w:r>
        <w:t xml:space="preserve">Structural remedies are typically more effective than behavioural remedies.  For example, behavioural remedies may prevent the merged entity from efficiently responding to changing market conditions and may restrain potentially pro-competitive behaviour by the merged entity and/or other market participants.  Furthermore, it is difficult to determine the appropriate duration of a behavioural remedy, since it is often difficult to gauge how long it will take for new entry or expansion to </w:t>
      </w:r>
      <w:proofErr w:type="gramStart"/>
      <w:r>
        <w:t>be established</w:t>
      </w:r>
      <w:proofErr w:type="gramEnd"/>
      <w:r>
        <w:t xml:space="preserve"> in the relevant market(s).  Competition authorities and courts generally prefer structural remedies </w:t>
      </w:r>
      <w:proofErr w:type="gramStart"/>
      <w:r>
        <w:t>over</w:t>
      </w:r>
      <w:proofErr w:type="gramEnd"/>
      <w:r>
        <w:t xml:space="preserve"> behavioural remedies because the terms of such remedies are more clear and certain, less costly to administer, and readily enforceable.  Disadvantages with respect to the costs associated with behavioural remedies include:</w:t>
      </w:r>
    </w:p>
    <w:p w:rsidR="001656BA" w:rsidRDefault="001656BA" w:rsidP="000107A2">
      <w:pPr>
        <w:pStyle w:val="ONEQuote"/>
        <w:numPr>
          <w:ilvl w:val="0"/>
          <w:numId w:val="36"/>
        </w:numPr>
      </w:pPr>
      <w:r>
        <w:t>The direct costs of monitoring the activities of the merged entity, and the merged entity’s adherence to the terms of the remedy;</w:t>
      </w:r>
    </w:p>
    <w:p w:rsidR="001656BA" w:rsidRDefault="001656BA" w:rsidP="000107A2">
      <w:pPr>
        <w:pStyle w:val="ONEQuote"/>
        <w:numPr>
          <w:ilvl w:val="0"/>
          <w:numId w:val="36"/>
        </w:numPr>
      </w:pPr>
      <w:r>
        <w:t>The costs to other market participants, who must rely on arbitration proceedings arising from self-governing mechanisms; and</w:t>
      </w:r>
    </w:p>
    <w:p w:rsidR="001656BA" w:rsidRDefault="001656BA" w:rsidP="000107A2">
      <w:pPr>
        <w:pStyle w:val="ONEQuote"/>
        <w:numPr>
          <w:ilvl w:val="0"/>
          <w:numId w:val="36"/>
        </w:numPr>
      </w:pPr>
      <w:r>
        <w:t>The indirect costs associated with any efforts by the merged entity to circumvent the spirit of the remedy.</w:t>
      </w:r>
      <w:r w:rsidR="000D283D">
        <w:rPr>
          <w:rStyle w:val="FootnoteReference"/>
        </w:rPr>
        <w:footnoteReference w:id="14"/>
      </w:r>
    </w:p>
    <w:p w:rsidR="00A90129" w:rsidRPr="00A90129" w:rsidRDefault="00A90129" w:rsidP="000107A2">
      <w:pPr>
        <w:pStyle w:val="ONEBodyText"/>
      </w:pPr>
      <w:r>
        <w:t xml:space="preserve">The strong </w:t>
      </w:r>
      <w:r w:rsidR="008A7233">
        <w:t xml:space="preserve">preference </w:t>
      </w:r>
      <w:r>
        <w:t xml:space="preserve">for structural remedies in the merger context is not </w:t>
      </w:r>
      <w:r w:rsidR="008A7233">
        <w:t>limited</w:t>
      </w:r>
      <w:r>
        <w:t xml:space="preserve"> to Canada.  In fact, it is almost </w:t>
      </w:r>
      <w:r w:rsidR="008A7233">
        <w:t>universal</w:t>
      </w:r>
      <w:r>
        <w:t xml:space="preserve">.  For instance, the US Department of Justice </w:t>
      </w:r>
      <w:r w:rsidR="008A7233">
        <w:t>Antitrust Division</w:t>
      </w:r>
      <w:r>
        <w:t xml:space="preserve"> Merger Remedies Manual</w:t>
      </w:r>
      <w:r>
        <w:rPr>
          <w:rStyle w:val="FootnoteReference"/>
        </w:rPr>
        <w:footnoteReference w:id="15"/>
      </w:r>
      <w:r>
        <w:t xml:space="preserve"> provides</w:t>
      </w:r>
      <w:r w:rsidR="008A7233">
        <w:t xml:space="preserve"> that</w:t>
      </w:r>
      <w:r>
        <w:t xml:space="preserve"> “Structural remedies are strongly preferred in horizontal and vertical merger cases because they are clear</w:t>
      </w:r>
      <w:r w:rsidR="008A7233">
        <w:t>,</w:t>
      </w:r>
      <w:r>
        <w:t xml:space="preserve"> certain, effective, and </w:t>
      </w:r>
      <w:r w:rsidR="008A7233">
        <w:t>avoid</w:t>
      </w:r>
      <w:r>
        <w:t xml:space="preserve"> ongoing government entanglement in the market”.</w:t>
      </w:r>
      <w:r>
        <w:rPr>
          <w:rStyle w:val="FootnoteReference"/>
        </w:rPr>
        <w:footnoteReference w:id="16"/>
      </w:r>
      <w:r w:rsidR="00BF4EB6">
        <w:t xml:space="preserve">  </w:t>
      </w:r>
      <w:r>
        <w:t>Likewise, the ICN’s 2016 Merger Remedies Guidelines</w:t>
      </w:r>
      <w:r>
        <w:rPr>
          <w:rStyle w:val="FootnoteReference"/>
        </w:rPr>
        <w:footnoteReference w:id="17"/>
      </w:r>
      <w:r>
        <w:t xml:space="preserve"> </w:t>
      </w:r>
      <w:proofErr w:type="gramStart"/>
      <w:r>
        <w:t>note</w:t>
      </w:r>
      <w:r w:rsidR="00387F2F">
        <w:t xml:space="preserve"> that</w:t>
      </w:r>
      <w:proofErr w:type="gramEnd"/>
      <w:r>
        <w:t xml:space="preserve"> “Competition authorities generally prefer structural relief in the form of a divestiture to remedy the anti-competitive effects of mergers, </w:t>
      </w:r>
      <w:r w:rsidR="008A7233">
        <w:t>particularly</w:t>
      </w:r>
      <w:r>
        <w:t xml:space="preserve"> horizontal mergers”.</w:t>
      </w:r>
      <w:r>
        <w:rPr>
          <w:rStyle w:val="FootnoteReference"/>
        </w:rPr>
        <w:footnoteReference w:id="18"/>
      </w:r>
    </w:p>
    <w:p w:rsidR="0094766E" w:rsidRPr="00387F2F" w:rsidRDefault="00A90129" w:rsidP="000107A2">
      <w:pPr>
        <w:pStyle w:val="Heading2"/>
      </w:pPr>
      <w:r w:rsidRPr="00387F2F">
        <w:t>Monopolization Guid</w:t>
      </w:r>
      <w:r w:rsidR="00387F2F">
        <w:t>ance</w:t>
      </w:r>
    </w:p>
    <w:p w:rsidR="00A90129" w:rsidRDefault="00A90129" w:rsidP="000107A2">
      <w:pPr>
        <w:pStyle w:val="ONEBodyText"/>
      </w:pPr>
      <w:r>
        <w:t>While the remedy guidance with respect to mergers is largely unanimous that structural remedies are preferred, that is not the case with monopolization guidance.  The Canadian Competition Bureau’s Abuse of Dominance Enforcement Guidelines</w:t>
      </w:r>
      <w:r w:rsidR="000D283D">
        <w:t xml:space="preserve"> provide</w:t>
      </w:r>
      <w:r w:rsidR="00502851">
        <w:t>:</w:t>
      </w:r>
    </w:p>
    <w:p w:rsidR="00CD3BED" w:rsidRDefault="00CD3BED" w:rsidP="000107A2">
      <w:pPr>
        <w:pStyle w:val="ONEQuote"/>
      </w:pPr>
      <w:r>
        <w:t xml:space="preserve">Pursuant to subsection 79(1), the Tribunal may issue an order prohibiting a respondent from engaging in the impugned practice of anti-competitive acts.  </w:t>
      </w:r>
      <w:proofErr w:type="gramStart"/>
      <w:r>
        <w:t>In addition or alternatively, if the Tribunal finds that an order prohibiting the practice is not likely to restore competition in the affected market, subsection 79(2) provides that the Tribunal may issue an order directing the respondent to take any such actions as are reasonable and necessary to overcome the effects of the practice of anti-competitive acts, including the divestiture of assets or shares.</w:t>
      </w:r>
      <w:proofErr w:type="gramEnd"/>
      <w:r>
        <w:t xml:space="preserve">  Other actions may include, for instance, changes to contractual terms, or the establishment of a corporate compliance program.  The Bureau typically views prohibition and prescriptive orders as complementary and, where appropriate, may seek orders that both prohibit the anti-competitive conduct and direct the respondent to take positive steps or actions as are necessary to restore competition in the market.</w:t>
      </w:r>
      <w:r w:rsidR="00387F2F">
        <w:rPr>
          <w:rStyle w:val="FootnoteReference"/>
        </w:rPr>
        <w:footnoteReference w:id="19"/>
      </w:r>
    </w:p>
    <w:p w:rsidR="00CD3BED" w:rsidRDefault="00502851" w:rsidP="000107A2">
      <w:pPr>
        <w:pStyle w:val="ONEBodyText"/>
      </w:pPr>
      <w:r>
        <w:t>Thus, the guidance contemplates</w:t>
      </w:r>
      <w:r w:rsidR="00644610">
        <w:t xml:space="preserve"> use of</w:t>
      </w:r>
      <w:r>
        <w:t xml:space="preserve"> </w:t>
      </w:r>
      <w:r w:rsidR="00BF4EB6">
        <w:t>both cease and desist/prohibition injunction</w:t>
      </w:r>
      <w:r w:rsidR="00644610">
        <w:t>s</w:t>
      </w:r>
      <w:r w:rsidR="00BF4EB6">
        <w:t xml:space="preserve"> and </w:t>
      </w:r>
      <w:r>
        <w:t>mandatory orders, but does not touch on structural remedies.</w:t>
      </w:r>
    </w:p>
    <w:p w:rsidR="000D283D" w:rsidRDefault="00BF4EB6" w:rsidP="000107A2">
      <w:pPr>
        <w:pStyle w:val="ONEBodyText"/>
      </w:pPr>
      <w:proofErr w:type="gramStart"/>
      <w:r>
        <w:t>In the now withdrawn</w:t>
      </w:r>
      <w:r w:rsidR="00B41A8C">
        <w:t xml:space="preserve"> U.S. Department of Justice Section 2 Report</w:t>
      </w:r>
      <w:r w:rsidR="00B41A8C">
        <w:rPr>
          <w:rStyle w:val="FootnoteReference"/>
        </w:rPr>
        <w:footnoteReference w:id="20"/>
      </w:r>
      <w:r w:rsidR="00B41A8C">
        <w:t xml:space="preserve"> the Department of Justice noted the importance of an effective remedy in monopolization cases, </w:t>
      </w:r>
      <w:r w:rsidR="00644610">
        <w:t>observing</w:t>
      </w:r>
      <w:r w:rsidR="00B41A8C">
        <w:t xml:space="preserve"> that “</w:t>
      </w:r>
      <w:r w:rsidR="000D3D5A">
        <w:t>[</w:t>
      </w:r>
      <w:r w:rsidR="00502851">
        <w:t>d</w:t>
      </w:r>
      <w:r w:rsidR="000D3D5A">
        <w:t>]</w:t>
      </w:r>
      <w:proofErr w:type="spellStart"/>
      <w:r w:rsidR="00502851">
        <w:t>esigning</w:t>
      </w:r>
      <w:proofErr w:type="spellEnd"/>
      <w:r w:rsidR="00502851">
        <w:t xml:space="preserve"> and </w:t>
      </w:r>
      <w:r w:rsidR="00B41A8C">
        <w:t>implementing effective remedies in unilateral conduct case</w:t>
      </w:r>
      <w:r w:rsidR="000D3D5A">
        <w:t>s</w:t>
      </w:r>
      <w:r w:rsidR="00B41A8C">
        <w:t xml:space="preserve"> often is a d</w:t>
      </w:r>
      <w:r w:rsidR="00502851">
        <w:t>aunting</w:t>
      </w:r>
      <w:r w:rsidR="00B41A8C">
        <w:t xml:space="preserve"> challenge”</w:t>
      </w:r>
      <w:r w:rsidR="00502851">
        <w:rPr>
          <w:rStyle w:val="FootnoteReference"/>
        </w:rPr>
        <w:footnoteReference w:id="21"/>
      </w:r>
      <w:r w:rsidR="00B41A8C">
        <w:t xml:space="preserve"> because </w:t>
      </w:r>
      <w:r w:rsidR="00502851">
        <w:t xml:space="preserve">of </w:t>
      </w:r>
      <w:r w:rsidR="00B41A8C">
        <w:t xml:space="preserve">the need to end the conduct and allow an opportunity for competition </w:t>
      </w:r>
      <w:r w:rsidR="00644610">
        <w:t>to occur</w:t>
      </w:r>
      <w:r w:rsidR="000D3D5A">
        <w:t>,</w:t>
      </w:r>
      <w:r w:rsidR="00644610">
        <w:t xml:space="preserve"> </w:t>
      </w:r>
      <w:r w:rsidR="00B41A8C">
        <w:t>without ch</w:t>
      </w:r>
      <w:r w:rsidR="00502851">
        <w:t>illing</w:t>
      </w:r>
      <w:r>
        <w:t xml:space="preserve"> legitimate competition</w:t>
      </w:r>
      <w:r w:rsidR="00644610">
        <w:t xml:space="preserve"> on the merits by the dominant firm</w:t>
      </w:r>
      <w:r>
        <w:t>.</w:t>
      </w:r>
      <w:proofErr w:type="gramEnd"/>
      <w:r w:rsidR="00B41A8C">
        <w:t xml:space="preserve">  </w:t>
      </w:r>
    </w:p>
    <w:p w:rsidR="009F0B43" w:rsidRDefault="00644610" w:rsidP="000107A2">
      <w:pPr>
        <w:pStyle w:val="ONEBodyText"/>
      </w:pPr>
      <w:r>
        <w:t>T</w:t>
      </w:r>
      <w:r w:rsidR="009F0B43">
        <w:t>he Section 2 Report noted:</w:t>
      </w:r>
    </w:p>
    <w:p w:rsidR="00B41A8C" w:rsidRDefault="00B41A8C" w:rsidP="000107A2">
      <w:pPr>
        <w:pStyle w:val="ONEQuote"/>
      </w:pPr>
      <w:r>
        <w:t xml:space="preserve">In the merger context, structural remedies generally are preferred over conduct remedies because they are </w:t>
      </w:r>
      <w:r w:rsidR="009F0B43">
        <w:t>‘</w:t>
      </w:r>
      <w:r>
        <w:t>relatively clean and certain, and generally avoid costly government entanglement in the market.</w:t>
      </w:r>
      <w:r w:rsidR="009F0B43">
        <w:t>’…</w:t>
      </w:r>
    </w:p>
    <w:p w:rsidR="00B41A8C" w:rsidRDefault="00B41A8C" w:rsidP="000107A2">
      <w:pPr>
        <w:pStyle w:val="ONEQuote"/>
      </w:pPr>
      <w:r>
        <w:t>These advantages usually are absent in the section 2 context, especially where the firm in question has not grown through acquisition.  As a result, many panelists and commentators favor conduct remedies over structural relief in section 2 cases</w:t>
      </w:r>
      <w:r w:rsidR="009F0B43">
        <w:t>. …</w:t>
      </w:r>
      <w:r>
        <w:t xml:space="preserve">As two commentators summarize, </w:t>
      </w:r>
      <w:r w:rsidR="009F0B43">
        <w:t>‘</w:t>
      </w:r>
      <w:r>
        <w:t>Even if structural and conduct relief would be equally effective, a conduct remedy is nevertheless preferable if any higher administrative costs it entails are outweighed by lower costs of lost effic</w:t>
      </w:r>
      <w:r w:rsidR="009F0B43">
        <w:t>iencies and stifled innovation.’</w:t>
      </w:r>
      <w:r w:rsidR="009F0B43">
        <w:rPr>
          <w:rStyle w:val="FootnoteReference"/>
        </w:rPr>
        <w:footnoteReference w:id="22"/>
      </w:r>
    </w:p>
    <w:p w:rsidR="00B41A8C" w:rsidRDefault="00644610" w:rsidP="000107A2">
      <w:pPr>
        <w:pStyle w:val="ONEBodyText"/>
      </w:pPr>
      <w:r>
        <w:t xml:space="preserve">However, structural remedies </w:t>
      </w:r>
      <w:proofErr w:type="gramStart"/>
      <w:r>
        <w:t>are not rule</w:t>
      </w:r>
      <w:r w:rsidR="002247E8">
        <w:t>d</w:t>
      </w:r>
      <w:r>
        <w:t xml:space="preserve"> out</w:t>
      </w:r>
      <w:proofErr w:type="gramEnd"/>
      <w:r>
        <w:t xml:space="preserve">.  </w:t>
      </w:r>
      <w:r w:rsidR="00B41A8C">
        <w:t>The Section 2 Report conclude</w:t>
      </w:r>
      <w:r w:rsidR="002247E8">
        <w:t>s</w:t>
      </w:r>
      <w:r w:rsidR="00B41A8C">
        <w:t xml:space="preserve"> its consideration of the issue as </w:t>
      </w:r>
      <w:r w:rsidR="00BF4EB6">
        <w:t>follows:</w:t>
      </w:r>
    </w:p>
    <w:p w:rsidR="00B41A8C" w:rsidRDefault="002C16C0" w:rsidP="000107A2">
      <w:pPr>
        <w:pStyle w:val="ONEQuote"/>
      </w:pPr>
      <w:r>
        <w:t>The Department believes that structural remedies remain an important part of the remedies government’s remedial arsenal.  They may be appropriate if a section 2 violation has a clear, significant causal connection to a defendant’s acquisition of monopoly power.  Radical restructuring of a defendant, however, is appropriate only after a determination that alternative remedies would not satisfactorily achieve the remedial goals or would do so at an unacceptable cost and a determination that the structural remedy is likely to benefit consumers.</w:t>
      </w:r>
      <w:r w:rsidR="009F0B43">
        <w:rPr>
          <w:rStyle w:val="FootnoteReference"/>
        </w:rPr>
        <w:footnoteReference w:id="23"/>
      </w:r>
    </w:p>
    <w:p w:rsidR="00CD1F3C" w:rsidRDefault="00CD1F3C" w:rsidP="000107A2">
      <w:pPr>
        <w:pStyle w:val="ListParagraph"/>
        <w:numPr>
          <w:ilvl w:val="0"/>
          <w:numId w:val="17"/>
        </w:numPr>
        <w:rPr>
          <w:rFonts w:ascii="Times New Roman Bold" w:hAnsi="Times New Roman Bold"/>
          <w:b/>
          <w:caps/>
        </w:rPr>
      </w:pPr>
      <w:r w:rsidRPr="00CD1F3C">
        <w:rPr>
          <w:rFonts w:ascii="Times New Roman Bold" w:hAnsi="Times New Roman Bold"/>
          <w:b/>
          <w:caps/>
        </w:rPr>
        <w:t>Case Guidance</w:t>
      </w:r>
    </w:p>
    <w:p w:rsidR="005A5B6E" w:rsidRDefault="001A3DEB" w:rsidP="000107A2">
      <w:pPr>
        <w:pStyle w:val="ONEBodyText"/>
      </w:pPr>
      <w:r>
        <w:t>With that background, we turn to a review of the Canadian abuse of dominance cases</w:t>
      </w:r>
      <w:r w:rsidR="001656BA">
        <w:t xml:space="preserve"> and</w:t>
      </w:r>
      <w:r>
        <w:t xml:space="preserve"> the remedies imposed, with some </w:t>
      </w:r>
      <w:r w:rsidR="001656BA">
        <w:t>commentary</w:t>
      </w:r>
      <w:r>
        <w:t>, where</w:t>
      </w:r>
      <w:r w:rsidR="001656BA">
        <w:t xml:space="preserve"> applicable a</w:t>
      </w:r>
      <w:r w:rsidR="00644610">
        <w:t>nd appropriate,</w:t>
      </w:r>
      <w:r>
        <w:t xml:space="preserve"> as to the </w:t>
      </w:r>
      <w:r w:rsidR="001656BA">
        <w:t>efficacy</w:t>
      </w:r>
      <w:r>
        <w:t xml:space="preserve"> of such remedies.</w:t>
      </w:r>
    </w:p>
    <w:p w:rsidR="00CC0847" w:rsidRPr="00D53EB2" w:rsidRDefault="00CC0847" w:rsidP="000107A2">
      <w:pPr>
        <w:pStyle w:val="Heading2"/>
        <w:numPr>
          <w:ilvl w:val="0"/>
          <w:numId w:val="39"/>
        </w:numPr>
        <w:rPr>
          <w:i/>
        </w:rPr>
      </w:pPr>
      <w:r w:rsidRPr="00D53EB2">
        <w:rPr>
          <w:i/>
        </w:rPr>
        <w:t>Nutra</w:t>
      </w:r>
      <w:r w:rsidR="002247E8">
        <w:rPr>
          <w:i/>
        </w:rPr>
        <w:t>S</w:t>
      </w:r>
      <w:r w:rsidRPr="00D53EB2">
        <w:rPr>
          <w:i/>
        </w:rPr>
        <w:t>weet</w:t>
      </w:r>
      <w:r w:rsidR="00D10763" w:rsidRPr="00D53EB2">
        <w:rPr>
          <w:i/>
        </w:rPr>
        <w:t xml:space="preserve"> </w:t>
      </w:r>
    </w:p>
    <w:p w:rsidR="005A5B6E" w:rsidRDefault="007733CC" w:rsidP="000107A2">
      <w:pPr>
        <w:pStyle w:val="ONEBodyText"/>
      </w:pPr>
      <w:r>
        <w:t>T</w:t>
      </w:r>
      <w:r w:rsidR="002D1E2E">
        <w:t xml:space="preserve">he abuse of dominance case filed against </w:t>
      </w:r>
      <w:r w:rsidR="002247E8">
        <w:t>The NutraS</w:t>
      </w:r>
      <w:r w:rsidR="002D1E2E" w:rsidRPr="002247E8">
        <w:t>weet Company</w:t>
      </w:r>
      <w:r>
        <w:rPr>
          <w:rStyle w:val="FootnoteReference"/>
        </w:rPr>
        <w:footnoteReference w:id="24"/>
      </w:r>
      <w:r w:rsidR="002D1E2E">
        <w:t>, which</w:t>
      </w:r>
      <w:r w:rsidR="00644610">
        <w:t xml:space="preserve"> was a supplier of</w:t>
      </w:r>
      <w:r w:rsidR="002D1E2E">
        <w:t xml:space="preserve"> the high-intensity </w:t>
      </w:r>
      <w:r w:rsidR="00644610">
        <w:t>sweetener</w:t>
      </w:r>
      <w:r w:rsidR="002D1E2E">
        <w:t xml:space="preserve"> aspartame (which it trade marked “NutraSweet”) to food and beverage manufacturers, was the first abuse of dominance case brought in Canada.</w:t>
      </w:r>
    </w:p>
    <w:p w:rsidR="002D1E2E" w:rsidRDefault="002D1E2E" w:rsidP="000107A2">
      <w:pPr>
        <w:pStyle w:val="ONEBodyText"/>
      </w:pPr>
      <w:r>
        <w:t>The Commissioner</w:t>
      </w:r>
      <w:r w:rsidR="00004239">
        <w:t xml:space="preserve"> of Competition</w:t>
      </w:r>
      <w:r>
        <w:t xml:space="preserve"> (the</w:t>
      </w:r>
      <w:r w:rsidR="007733CC">
        <w:t>n</w:t>
      </w:r>
      <w:r w:rsidR="002247E8">
        <w:t xml:space="preserve"> Director</w:t>
      </w:r>
      <w:r w:rsidR="00004239">
        <w:t xml:space="preserve"> of Investigation and Research – for the remainder of the paper referred to as “Commissioner”</w:t>
      </w:r>
      <w:r w:rsidR="002247E8">
        <w:t>) alleged that</w:t>
      </w:r>
      <w:r w:rsidR="00004239">
        <w:t xml:space="preserve"> the</w:t>
      </w:r>
      <w:r w:rsidR="002247E8">
        <w:t xml:space="preserve"> NutraS</w:t>
      </w:r>
      <w:r>
        <w:t xml:space="preserve">weet </w:t>
      </w:r>
      <w:r w:rsidR="00004239">
        <w:t xml:space="preserve">Company </w:t>
      </w:r>
      <w:r>
        <w:t>had engaged in a variety of practices</w:t>
      </w:r>
      <w:r w:rsidR="007733CC">
        <w:t>,</w:t>
      </w:r>
      <w:r>
        <w:t xml:space="preserve"> but essentially of two types</w:t>
      </w:r>
      <w:r w:rsidR="007733CC">
        <w:t xml:space="preserve"> – </w:t>
      </w:r>
      <w:r>
        <w:t xml:space="preserve">exclusivity inducing contractual provisions and predatory pricing – </w:t>
      </w:r>
      <w:r w:rsidR="00290A6C">
        <w:t>in order to maintain</w:t>
      </w:r>
      <w:r>
        <w:t xml:space="preserve"> dominan</w:t>
      </w:r>
      <w:r w:rsidR="00290A6C">
        <w:t>ce in</w:t>
      </w:r>
      <w:r>
        <w:t xml:space="preserve"> the supply of aspartame.  The case </w:t>
      </w:r>
      <w:proofErr w:type="gramStart"/>
      <w:r>
        <w:t>was also brought</w:t>
      </w:r>
      <w:proofErr w:type="gramEnd"/>
      <w:r>
        <w:t xml:space="preserve"> under the Section 77 provision with respect to exclusive dealing and tied selling.</w:t>
      </w:r>
      <w:r w:rsidR="007733CC">
        <w:t xml:space="preserve">  </w:t>
      </w:r>
      <w:r w:rsidR="007733CC" w:rsidRPr="007733CC">
        <w:t xml:space="preserve">The Tribunal </w:t>
      </w:r>
      <w:r w:rsidR="007733CC">
        <w:t xml:space="preserve">dismissed </w:t>
      </w:r>
      <w:r w:rsidR="007733CC" w:rsidRPr="007733CC">
        <w:t xml:space="preserve">the predatory pricing aspect of the case, but found for the Commissioner with respect to the contract </w:t>
      </w:r>
      <w:r w:rsidR="007733CC">
        <w:t>terms</w:t>
      </w:r>
      <w:r w:rsidR="00CA78B4">
        <w:t>,</w:t>
      </w:r>
      <w:r w:rsidR="007733CC" w:rsidRPr="007733CC">
        <w:t xml:space="preserve"> which he alleged </w:t>
      </w:r>
      <w:r w:rsidR="007733CC">
        <w:t>induced</w:t>
      </w:r>
      <w:r w:rsidR="007733CC" w:rsidRPr="007733CC">
        <w:t xml:space="preserve"> exclusivity.  </w:t>
      </w:r>
    </w:p>
    <w:p w:rsidR="002D1E2E" w:rsidRDefault="002D1E2E" w:rsidP="000107A2">
      <w:pPr>
        <w:pStyle w:val="ONEBodyText"/>
      </w:pPr>
      <w:r>
        <w:t>The remedy sought was a requirement that the Tribunal order</w:t>
      </w:r>
      <w:r w:rsidR="00004239">
        <w:t xml:space="preserve"> the</w:t>
      </w:r>
      <w:r>
        <w:t xml:space="preserve"> Nutra</w:t>
      </w:r>
      <w:r w:rsidR="002247E8">
        <w:t>S</w:t>
      </w:r>
      <w:r>
        <w:t xml:space="preserve">weet </w:t>
      </w:r>
      <w:r w:rsidR="00004239">
        <w:t xml:space="preserve">Company </w:t>
      </w:r>
      <w:r>
        <w:t>to cease the anti-competitive acts found, together with order</w:t>
      </w:r>
      <w:r w:rsidR="007733CC">
        <w:t>s</w:t>
      </w:r>
      <w:r>
        <w:t xml:space="preserve"> reasonable and necessary to overturn the effects of the anti-competitive conduct.  Specifically</w:t>
      </w:r>
      <w:r w:rsidR="000D3D5A">
        <w:t>,</w:t>
      </w:r>
      <w:r>
        <w:t xml:space="preserve"> it sought to enjo</w:t>
      </w:r>
      <w:r w:rsidR="007733CC">
        <w:t>in</w:t>
      </w:r>
      <w:r>
        <w:t xml:space="preserve"> the use of </w:t>
      </w:r>
      <w:r w:rsidR="00290A6C">
        <w:t>the challenged contract terms inducing exclusivity</w:t>
      </w:r>
      <w:r>
        <w:t xml:space="preserve"> and </w:t>
      </w:r>
      <w:r w:rsidR="00290A6C">
        <w:t>declare those already in agreements</w:t>
      </w:r>
      <w:r>
        <w:t xml:space="preserve"> to be of no </w:t>
      </w:r>
      <w:r w:rsidR="007733CC">
        <w:t>force and</w:t>
      </w:r>
      <w:r>
        <w:t xml:space="preserve"> effect.</w:t>
      </w:r>
      <w:r w:rsidR="00644610">
        <w:t xml:space="preserve">  </w:t>
      </w:r>
      <w:r>
        <w:t xml:space="preserve">No order </w:t>
      </w:r>
      <w:proofErr w:type="gramStart"/>
      <w:r>
        <w:t>was sought</w:t>
      </w:r>
      <w:proofErr w:type="gramEnd"/>
      <w:r>
        <w:t xml:space="preserve"> with respect to divestitures</w:t>
      </w:r>
      <w:r w:rsidR="00644610">
        <w:t>.  T</w:t>
      </w:r>
      <w:r>
        <w:t>he Tribunal ordered that contract terms</w:t>
      </w:r>
      <w:r w:rsidR="000D3D5A">
        <w:t>,</w:t>
      </w:r>
      <w:r>
        <w:t xml:space="preserve"> which </w:t>
      </w:r>
      <w:r w:rsidR="002247E8">
        <w:t xml:space="preserve">required or induced </w:t>
      </w:r>
      <w:r>
        <w:t>exclusivity</w:t>
      </w:r>
      <w:r w:rsidR="000D3D5A">
        <w:t>,</w:t>
      </w:r>
      <w:r>
        <w:t xml:space="preserve"> </w:t>
      </w:r>
      <w:proofErr w:type="gramStart"/>
      <w:r>
        <w:t>not be entered into in the future nor enforced if currently in place</w:t>
      </w:r>
      <w:proofErr w:type="gramEnd"/>
      <w:r>
        <w:t>.</w:t>
      </w:r>
    </w:p>
    <w:p w:rsidR="002D1E2E" w:rsidRDefault="00290A6C" w:rsidP="000107A2">
      <w:pPr>
        <w:pStyle w:val="ONEBodyText"/>
      </w:pPr>
      <w:r>
        <w:t>T</w:t>
      </w:r>
      <w:r w:rsidR="002D1E2E">
        <w:t xml:space="preserve">he order </w:t>
      </w:r>
      <w:r>
        <w:t xml:space="preserve">in fact </w:t>
      </w:r>
      <w:r w:rsidR="002D1E2E">
        <w:t>made relatively little</w:t>
      </w:r>
      <w:r w:rsidR="007733CC">
        <w:t xml:space="preserve"> impact with respect</w:t>
      </w:r>
      <w:r w:rsidR="002D1E2E">
        <w:t xml:space="preserve"> to purchasing policies of aspartame</w:t>
      </w:r>
      <w:r w:rsidR="007733CC">
        <w:t xml:space="preserve"> customers in Canada (primarily Coke and Pepsi)</w:t>
      </w:r>
      <w:r w:rsidR="002D1E2E">
        <w:t xml:space="preserve"> until, approximately one year after the decision</w:t>
      </w:r>
      <w:r w:rsidR="007733CC">
        <w:t>,</w:t>
      </w:r>
      <w:r w:rsidR="002D1E2E">
        <w:t xml:space="preserve"> another high intensity sweetener, </w:t>
      </w:r>
      <w:proofErr w:type="spellStart"/>
      <w:r>
        <w:t>a</w:t>
      </w:r>
      <w:r w:rsidR="002D1E2E" w:rsidRPr="002D1E2E">
        <w:t>cesulfame</w:t>
      </w:r>
      <w:proofErr w:type="spellEnd"/>
      <w:r>
        <w:t>-</w:t>
      </w:r>
      <w:r w:rsidR="002D1E2E" w:rsidRPr="002D1E2E">
        <w:t>K</w:t>
      </w:r>
      <w:r w:rsidR="002D1E2E">
        <w:t xml:space="preserve">, </w:t>
      </w:r>
      <w:proofErr w:type="gramStart"/>
      <w:r w:rsidR="002D1E2E">
        <w:t>was approved</w:t>
      </w:r>
      <w:proofErr w:type="gramEnd"/>
      <w:r w:rsidR="002D1E2E">
        <w:t xml:space="preserve"> for use</w:t>
      </w:r>
      <w:r w:rsidR="004E546F">
        <w:t xml:space="preserve"> in Canada.  Then there was a significant change, as the blending of aspartame and </w:t>
      </w:r>
      <w:proofErr w:type="spellStart"/>
      <w:r>
        <w:t>a</w:t>
      </w:r>
      <w:r w:rsidR="007733CC" w:rsidRPr="007733CC">
        <w:t>cesulfame</w:t>
      </w:r>
      <w:proofErr w:type="spellEnd"/>
      <w:r>
        <w:t>-</w:t>
      </w:r>
      <w:r w:rsidR="007733CC" w:rsidRPr="007733CC">
        <w:t xml:space="preserve">K </w:t>
      </w:r>
      <w:r>
        <w:t>resulted</w:t>
      </w:r>
      <w:r w:rsidR="004E546F">
        <w:t xml:space="preserve"> in a more cost effective </w:t>
      </w:r>
      <w:r w:rsidR="00644610">
        <w:t>formulation to sweeten beverages.</w:t>
      </w:r>
    </w:p>
    <w:p w:rsidR="00CC0847" w:rsidRPr="00D53EB2" w:rsidRDefault="00CC0847" w:rsidP="000107A2">
      <w:pPr>
        <w:pStyle w:val="Heading2"/>
        <w:rPr>
          <w:i/>
        </w:rPr>
      </w:pPr>
      <w:r w:rsidRPr="00D53EB2">
        <w:rPr>
          <w:i/>
        </w:rPr>
        <w:t>Laidlaw</w:t>
      </w:r>
      <w:r w:rsidR="00D10763" w:rsidRPr="00D53EB2">
        <w:rPr>
          <w:i/>
        </w:rPr>
        <w:t xml:space="preserve"> </w:t>
      </w:r>
    </w:p>
    <w:p w:rsidR="001A1E31" w:rsidRDefault="007733CC" w:rsidP="000107A2">
      <w:pPr>
        <w:pStyle w:val="ONEBodyText"/>
      </w:pPr>
      <w:r>
        <w:t xml:space="preserve">The </w:t>
      </w:r>
      <w:r w:rsidR="004E546F" w:rsidRPr="00D53EB2">
        <w:rPr>
          <w:i/>
        </w:rPr>
        <w:t>Laidlaw</w:t>
      </w:r>
      <w:r w:rsidR="004E546F">
        <w:t xml:space="preserve"> case</w:t>
      </w:r>
      <w:r>
        <w:rPr>
          <w:rStyle w:val="FootnoteReference"/>
        </w:rPr>
        <w:footnoteReference w:id="25"/>
      </w:r>
      <w:r>
        <w:t xml:space="preserve"> </w:t>
      </w:r>
      <w:r w:rsidR="004E546F">
        <w:t>involved a challenge to the p</w:t>
      </w:r>
      <w:r>
        <w:t>ractice</w:t>
      </w:r>
      <w:r w:rsidR="00644610">
        <w:t>s</w:t>
      </w:r>
      <w:r w:rsidR="004E546F">
        <w:t xml:space="preserve"> of </w:t>
      </w:r>
      <w:r>
        <w:t>the “dominant”</w:t>
      </w:r>
      <w:r w:rsidR="004E546F">
        <w:t xml:space="preserve"> waste collection/disposal firm in certain communities on Vancouver Island.  </w:t>
      </w:r>
      <w:proofErr w:type="gramStart"/>
      <w:r w:rsidR="004E546F">
        <w:t>Laidlaw was alleged to have abused its dom</w:t>
      </w:r>
      <w:r w:rsidR="00046C67">
        <w:t>in</w:t>
      </w:r>
      <w:r w:rsidR="004E546F">
        <w:t>an</w:t>
      </w:r>
      <w:r w:rsidR="00046C67">
        <w:t>t</w:t>
      </w:r>
      <w:r w:rsidR="004E546F">
        <w:t xml:space="preserve"> position by buying up competit</w:t>
      </w:r>
      <w:r w:rsidR="00046C67">
        <w:t>ors</w:t>
      </w:r>
      <w:r w:rsidR="004E546F">
        <w:t>, using long term non-compete agreements in such purchase and sale</w:t>
      </w:r>
      <w:r w:rsidR="00046C67">
        <w:t xml:space="preserve"> agreements,</w:t>
      </w:r>
      <w:r w:rsidR="004E546F">
        <w:t xml:space="preserve"> </w:t>
      </w:r>
      <w:r w:rsidR="00644610">
        <w:t xml:space="preserve">and </w:t>
      </w:r>
      <w:r w:rsidR="004E546F">
        <w:t>using a variety of contract terms which locked in customers (automatic renew</w:t>
      </w:r>
      <w:r w:rsidR="00290A6C">
        <w:t>al</w:t>
      </w:r>
      <w:r w:rsidR="004E546F">
        <w:t xml:space="preserve">s, </w:t>
      </w:r>
      <w:r w:rsidR="00046C67">
        <w:t xml:space="preserve">onerous </w:t>
      </w:r>
      <w:r w:rsidR="004E546F">
        <w:t>notice of termination</w:t>
      </w:r>
      <w:r w:rsidR="00046C67">
        <w:t xml:space="preserve"> provisions</w:t>
      </w:r>
      <w:r w:rsidR="004E546F">
        <w:t xml:space="preserve">, “long” terms, rights of first refusal, </w:t>
      </w:r>
      <w:r w:rsidR="00046C67">
        <w:t>rights to meet competitive offers and retain the business</w:t>
      </w:r>
      <w:r w:rsidR="004E546F">
        <w:t>, requiring exclusivity at all customer locations, and early termination fees</w:t>
      </w:r>
      <w:r w:rsidR="00046C67">
        <w:t xml:space="preserve"> – amongst other terms</w:t>
      </w:r>
      <w:r w:rsidR="00290A6C">
        <w:t>).</w:t>
      </w:r>
      <w:proofErr w:type="gramEnd"/>
    </w:p>
    <w:p w:rsidR="005D18C6" w:rsidRDefault="00644610" w:rsidP="000107A2">
      <w:pPr>
        <w:pStyle w:val="ONEBodyText"/>
      </w:pPr>
      <w:r>
        <w:t>T</w:t>
      </w:r>
      <w:r w:rsidR="005D18C6">
        <w:t xml:space="preserve">he Tribunal </w:t>
      </w:r>
      <w:r w:rsidR="00046C67">
        <w:t xml:space="preserve">found for the Commissioner and ordered </w:t>
      </w:r>
      <w:r w:rsidR="005D18C6">
        <w:t xml:space="preserve">the </w:t>
      </w:r>
      <w:r>
        <w:t>changes</w:t>
      </w:r>
      <w:r w:rsidR="005D18C6">
        <w:t xml:space="preserve"> to the contract provisions </w:t>
      </w:r>
      <w:r w:rsidR="000D3D5A">
        <w:t xml:space="preserve">that </w:t>
      </w:r>
      <w:r w:rsidR="005D18C6">
        <w:t>the Commissioner sought.  Perhaps most interestingly</w:t>
      </w:r>
      <w:r w:rsidR="000D3D5A">
        <w:t>,</w:t>
      </w:r>
      <w:r w:rsidR="005D18C6">
        <w:t xml:space="preserve"> the Tribunal found that Laidlaw’s</w:t>
      </w:r>
      <w:r w:rsidR="00046C67">
        <w:t xml:space="preserve"> serial</w:t>
      </w:r>
      <w:r w:rsidR="005D18C6">
        <w:t xml:space="preserve"> acquisition of competit</w:t>
      </w:r>
      <w:r w:rsidR="00046C67">
        <w:t>ors was part of</w:t>
      </w:r>
      <w:r w:rsidR="005D18C6">
        <w:t xml:space="preserve"> its practice of anti-competitive acts and ordered that Laidlaw not acquire competitors in the relevant market for a </w:t>
      </w:r>
      <w:proofErr w:type="gramStart"/>
      <w:r w:rsidR="005D18C6">
        <w:t xml:space="preserve">period of </w:t>
      </w:r>
      <w:r w:rsidR="00046C67">
        <w:t>time</w:t>
      </w:r>
      <w:proofErr w:type="gramEnd"/>
      <w:r w:rsidR="00046C67">
        <w:t xml:space="preserve">, </w:t>
      </w:r>
      <w:r>
        <w:t>and as well</w:t>
      </w:r>
      <w:r w:rsidR="002247E8">
        <w:t xml:space="preserve"> it</w:t>
      </w:r>
      <w:r>
        <w:t xml:space="preserve"> struck</w:t>
      </w:r>
      <w:r w:rsidR="00046C67">
        <w:t xml:space="preserve"> down </w:t>
      </w:r>
      <w:r>
        <w:t xml:space="preserve">the </w:t>
      </w:r>
      <w:r w:rsidR="00046C67">
        <w:t>non-competition provisions in the existing purchase agreements.</w:t>
      </w:r>
      <w:r w:rsidR="00290A6C">
        <w:t xml:space="preserve">  </w:t>
      </w:r>
      <w:r w:rsidR="005D18C6">
        <w:t xml:space="preserve">While </w:t>
      </w:r>
      <w:r>
        <w:t>the prohibition on acquiring competitors was</w:t>
      </w:r>
      <w:r w:rsidR="005D18C6">
        <w:t xml:space="preserve"> not a divestiture order</w:t>
      </w:r>
      <w:r w:rsidR="00046C67">
        <w:t>,</w:t>
      </w:r>
      <w:r w:rsidR="005D18C6">
        <w:t xml:space="preserve"> it is in some respects a structural remedy</w:t>
      </w:r>
      <w:r w:rsidR="00046C67">
        <w:t xml:space="preserve">.  </w:t>
      </w:r>
      <w:r w:rsidR="000D3D5A">
        <w:t>However</w:t>
      </w:r>
      <w:r w:rsidR="00046C67">
        <w:t>,</w:t>
      </w:r>
      <w:r w:rsidR="005D18C6">
        <w:t xml:space="preserve"> it </w:t>
      </w:r>
      <w:proofErr w:type="gramStart"/>
      <w:r w:rsidR="005D18C6">
        <w:t>was not granted</w:t>
      </w:r>
      <w:proofErr w:type="gramEnd"/>
      <w:r w:rsidR="005D18C6">
        <w:t xml:space="preserve"> for traditional structural reasons, but rather to avoid discouraging customers from signing agreements with competitors of Laidlaw for fear that their suppliers would simply be bought up.</w:t>
      </w:r>
    </w:p>
    <w:p w:rsidR="005D18C6" w:rsidRDefault="005D18C6" w:rsidP="000107A2">
      <w:pPr>
        <w:pStyle w:val="ONEBodyText"/>
      </w:pPr>
      <w:r>
        <w:t>It is interesting to note that the upshot of this order appear</w:t>
      </w:r>
      <w:r w:rsidR="00290A6C">
        <w:t>s</w:t>
      </w:r>
      <w:r>
        <w:t xml:space="preserve"> to</w:t>
      </w:r>
      <w:r w:rsidR="00644610">
        <w:t xml:space="preserve"> have been</w:t>
      </w:r>
      <w:r>
        <w:t xml:space="preserve"> that other </w:t>
      </w:r>
      <w:proofErr w:type="gramStart"/>
      <w:r>
        <w:t>competitor</w:t>
      </w:r>
      <w:r w:rsidR="00046C67">
        <w:t>s</w:t>
      </w:r>
      <w:r>
        <w:t>,</w:t>
      </w:r>
      <w:proofErr w:type="gramEnd"/>
      <w:r>
        <w:t xml:space="preserve"> not constrained as to their contractual practices, essentially took over</w:t>
      </w:r>
      <w:r w:rsidR="00046C67">
        <w:t xml:space="preserve"> the relevant geographic market – and were themselves the subject of enforcement activity later – see </w:t>
      </w:r>
      <w:r w:rsidR="00004239">
        <w:t xml:space="preserve">Section </w:t>
      </w:r>
      <w:r w:rsidR="0030478D">
        <w:t>V (l</w:t>
      </w:r>
      <w:r w:rsidR="00290A6C">
        <w:t>)</w:t>
      </w:r>
      <w:r w:rsidR="00046C67">
        <w:t xml:space="preserve">, below. </w:t>
      </w:r>
    </w:p>
    <w:p w:rsidR="00F12820" w:rsidRPr="00D53EB2" w:rsidRDefault="00F12820" w:rsidP="000107A2">
      <w:pPr>
        <w:pStyle w:val="Heading2"/>
        <w:rPr>
          <w:i/>
        </w:rPr>
      </w:pPr>
      <w:r w:rsidRPr="00D53EB2">
        <w:rPr>
          <w:i/>
        </w:rPr>
        <w:t xml:space="preserve">Yellow Pages </w:t>
      </w:r>
    </w:p>
    <w:p w:rsidR="00391555" w:rsidRDefault="00570544" w:rsidP="000107A2">
      <w:pPr>
        <w:pStyle w:val="ONEBodyText"/>
      </w:pPr>
      <w:r>
        <w:t>T</w:t>
      </w:r>
      <w:r w:rsidR="00391555">
        <w:t xml:space="preserve">he </w:t>
      </w:r>
      <w:r w:rsidR="00391555" w:rsidRPr="00D53EB2">
        <w:rPr>
          <w:i/>
        </w:rPr>
        <w:t>Yellow Pages</w:t>
      </w:r>
      <w:r>
        <w:rPr>
          <w:rStyle w:val="FootnoteReference"/>
        </w:rPr>
        <w:footnoteReference w:id="26"/>
      </w:r>
      <w:r w:rsidR="00391555">
        <w:t xml:space="preserve"> case was a co</w:t>
      </w:r>
      <w:r>
        <w:t>nsent</w:t>
      </w:r>
      <w:r w:rsidR="00391555">
        <w:t xml:space="preserve"> decision of the Competition Tribunal, involving the </w:t>
      </w:r>
      <w:r>
        <w:t>various Canadian</w:t>
      </w:r>
      <w:r w:rsidR="00391555">
        <w:t xml:space="preserve"> </w:t>
      </w:r>
      <w:proofErr w:type="gramStart"/>
      <w:r w:rsidR="00391555">
        <w:t>landline telephone service providers</w:t>
      </w:r>
      <w:proofErr w:type="gramEnd"/>
      <w:r w:rsidR="00391555">
        <w:t xml:space="preserve">, who were also the publishers of the </w:t>
      </w:r>
      <w:r w:rsidR="00290A6C">
        <w:t>various</w:t>
      </w:r>
      <w:r w:rsidR="00391555">
        <w:t xml:space="preserve"> Yellow Pages directories</w:t>
      </w:r>
      <w:r w:rsidR="00290A6C">
        <w:t xml:space="preserve"> across the country</w:t>
      </w:r>
      <w:r w:rsidR="00391555">
        <w:t xml:space="preserve">.  </w:t>
      </w:r>
      <w:proofErr w:type="gramStart"/>
      <w:r w:rsidR="00391555">
        <w:t>The compan</w:t>
      </w:r>
      <w:r>
        <w:t>ies</w:t>
      </w:r>
      <w:r w:rsidR="00391555">
        <w:t xml:space="preserve"> had put in place a formal agreement whereby they agreed that, for “national” advertising in Yellow Pages they would only deal directly with those </w:t>
      </w:r>
      <w:r>
        <w:t>advertisers</w:t>
      </w:r>
      <w:r w:rsidR="00391555">
        <w:t xml:space="preserve"> whose head office was in that company’s “territory”, and would act as exclusive agents for the companies in their respective territories for the placement of advertisements in Yellow Pages directories</w:t>
      </w:r>
      <w:r w:rsidR="0030478D">
        <w:t xml:space="preserve"> outside of their territories.</w:t>
      </w:r>
      <w:proofErr w:type="gramEnd"/>
    </w:p>
    <w:p w:rsidR="00391555" w:rsidRDefault="00570544" w:rsidP="000107A2">
      <w:pPr>
        <w:pStyle w:val="ONEBodyText"/>
      </w:pPr>
      <w:r>
        <w:t xml:space="preserve">The Tribunal’s order prohibited the exclusive representation agreements but </w:t>
      </w:r>
      <w:r w:rsidR="00391555">
        <w:t>did not involve any structural components.</w:t>
      </w:r>
    </w:p>
    <w:p w:rsidR="00403384" w:rsidRPr="00D53EB2" w:rsidRDefault="00403384" w:rsidP="000107A2">
      <w:pPr>
        <w:pStyle w:val="Heading2"/>
        <w:rPr>
          <w:i/>
        </w:rPr>
      </w:pPr>
      <w:proofErr w:type="spellStart"/>
      <w:r w:rsidRPr="00D53EB2">
        <w:rPr>
          <w:i/>
        </w:rPr>
        <w:t>Neilsen</w:t>
      </w:r>
      <w:proofErr w:type="spellEnd"/>
      <w:r w:rsidR="00D10763" w:rsidRPr="00D53EB2">
        <w:rPr>
          <w:i/>
        </w:rPr>
        <w:t xml:space="preserve"> </w:t>
      </w:r>
    </w:p>
    <w:p w:rsidR="001A1E31" w:rsidRDefault="00570544" w:rsidP="000107A2">
      <w:pPr>
        <w:pStyle w:val="ONEBodyText"/>
      </w:pPr>
      <w:r>
        <w:t>The</w:t>
      </w:r>
      <w:r w:rsidR="00391555">
        <w:t xml:space="preserve"> </w:t>
      </w:r>
      <w:proofErr w:type="spellStart"/>
      <w:r w:rsidR="00391555" w:rsidRPr="00D53EB2">
        <w:rPr>
          <w:i/>
        </w:rPr>
        <w:t>Neilsen</w:t>
      </w:r>
      <w:proofErr w:type="spellEnd"/>
      <w:r w:rsidR="00391555">
        <w:t xml:space="preserve"> case</w:t>
      </w:r>
      <w:r>
        <w:rPr>
          <w:rStyle w:val="FootnoteReference"/>
        </w:rPr>
        <w:footnoteReference w:id="27"/>
      </w:r>
      <w:r>
        <w:t xml:space="preserve"> </w:t>
      </w:r>
      <w:r w:rsidR="00391555">
        <w:t xml:space="preserve">involved alleged abuse of dominance by a supplier of scanner based sales data to </w:t>
      </w:r>
      <w:r>
        <w:t xml:space="preserve">grocery </w:t>
      </w:r>
      <w:r w:rsidR="00391555">
        <w:t>product manufacturer</w:t>
      </w:r>
      <w:r>
        <w:t>s</w:t>
      </w:r>
      <w:r w:rsidR="00391555">
        <w:t xml:space="preserve">/suppliers.  </w:t>
      </w:r>
      <w:proofErr w:type="spellStart"/>
      <w:r w:rsidR="00391555">
        <w:t>Neilsen</w:t>
      </w:r>
      <w:proofErr w:type="spellEnd"/>
      <w:r w:rsidR="00391555">
        <w:t xml:space="preserve"> was alleged to have monopolized the market by entering into agreements with </w:t>
      </w:r>
      <w:r>
        <w:t xml:space="preserve">grocery </w:t>
      </w:r>
      <w:r w:rsidR="00391555">
        <w:t>retailers to obtain</w:t>
      </w:r>
      <w:r>
        <w:t xml:space="preserve"> exclusive access to their sales</w:t>
      </w:r>
      <w:r w:rsidR="00391555">
        <w:t xml:space="preserve"> d</w:t>
      </w:r>
      <w:r>
        <w:t>ata</w:t>
      </w:r>
      <w:r w:rsidR="00391555">
        <w:t xml:space="preserve">, and by using </w:t>
      </w:r>
      <w:proofErr w:type="gramStart"/>
      <w:r w:rsidR="00391555">
        <w:t>long term</w:t>
      </w:r>
      <w:proofErr w:type="gramEnd"/>
      <w:r w:rsidR="00391555">
        <w:t xml:space="preserve"> agreements with customers.</w:t>
      </w:r>
    </w:p>
    <w:p w:rsidR="00391555" w:rsidRDefault="00391555" w:rsidP="000107A2">
      <w:pPr>
        <w:pStyle w:val="ONEBodyText"/>
      </w:pPr>
      <w:r>
        <w:t xml:space="preserve">The Tribunal found against </w:t>
      </w:r>
      <w:proofErr w:type="spellStart"/>
      <w:r>
        <w:t>Neilsen</w:t>
      </w:r>
      <w:proofErr w:type="spellEnd"/>
      <w:r>
        <w:t xml:space="preserve">, and ordered that it not enforce its exclusivity </w:t>
      </w:r>
      <w:r w:rsidR="00570544">
        <w:t>arrangements</w:t>
      </w:r>
      <w:r>
        <w:t xml:space="preserve"> with retailers and </w:t>
      </w:r>
      <w:r w:rsidR="00570544">
        <w:t xml:space="preserve">that it </w:t>
      </w:r>
      <w:r>
        <w:t>open up its long</w:t>
      </w:r>
      <w:r w:rsidR="003C75C9">
        <w:t>-</w:t>
      </w:r>
      <w:r>
        <w:t xml:space="preserve">term supply contracts.  Interestingly, </w:t>
      </w:r>
      <w:r w:rsidR="00570544">
        <w:t>the Tribunal</w:t>
      </w:r>
      <w:r>
        <w:t xml:space="preserve"> found that in order to be competitive</w:t>
      </w:r>
      <w:r w:rsidR="003C75C9">
        <w:t>,</w:t>
      </w:r>
      <w:r>
        <w:t xml:space="preserve"> any </w:t>
      </w:r>
      <w:r w:rsidR="00570544">
        <w:t>new entrant supplier</w:t>
      </w:r>
      <w:r>
        <w:t xml:space="preserve"> would have to be able to offer some historical data</w:t>
      </w:r>
      <w:r w:rsidR="00570544">
        <w:t>.  Consequently</w:t>
      </w:r>
      <w:r>
        <w:t xml:space="preserve">, the Tribunal ordered </w:t>
      </w:r>
      <w:proofErr w:type="spellStart"/>
      <w:r>
        <w:t>Neilsen</w:t>
      </w:r>
      <w:proofErr w:type="spellEnd"/>
      <w:r>
        <w:t xml:space="preserve"> to make historical data available to competitors, if they requested it.  So, while not a divestiture </w:t>
      </w:r>
      <w:r>
        <w:rPr>
          <w:i/>
        </w:rPr>
        <w:t>per se</w:t>
      </w:r>
      <w:r>
        <w:t xml:space="preserve">, </w:t>
      </w:r>
      <w:r w:rsidR="00570544">
        <w:t>there was an order</w:t>
      </w:r>
      <w:r>
        <w:t xml:space="preserve"> to provide assets – not to establish a stand-alone competitor, but to help facilitate the ability of competitors to </w:t>
      </w:r>
      <w:r w:rsidR="00290A6C">
        <w:t xml:space="preserve">enter and </w:t>
      </w:r>
      <w:r>
        <w:t>be effective.</w:t>
      </w:r>
      <w:r w:rsidR="00570544">
        <w:t xml:space="preserve">  </w:t>
      </w:r>
      <w:r w:rsidR="0030478D">
        <w:t>In that respect</w:t>
      </w:r>
      <w:r w:rsidR="003C75C9">
        <w:t>,</w:t>
      </w:r>
      <w:r w:rsidR="0030478D">
        <w:t xml:space="preserve"> </w:t>
      </w:r>
      <w:r w:rsidR="00290A6C">
        <w:t xml:space="preserve">it was </w:t>
      </w:r>
      <w:r w:rsidR="00570544">
        <w:t>a kind of attenuated structural relief – analogous to the kind of supports sometimes built into divestiture orders in merger cases.</w:t>
      </w:r>
    </w:p>
    <w:p w:rsidR="00391555" w:rsidRPr="00391555" w:rsidRDefault="00391555" w:rsidP="000107A2">
      <w:pPr>
        <w:pStyle w:val="ONEBodyText"/>
      </w:pPr>
      <w:r>
        <w:t>In fact, despite the Tribunal order, retailers chose not to supply the data to other competitors, and there was no entry.</w:t>
      </w:r>
    </w:p>
    <w:p w:rsidR="00F12820" w:rsidRPr="00D53EB2" w:rsidRDefault="00F12820" w:rsidP="000107A2">
      <w:pPr>
        <w:pStyle w:val="Heading2"/>
        <w:rPr>
          <w:i/>
        </w:rPr>
      </w:pPr>
      <w:r w:rsidRPr="00D53EB2">
        <w:rPr>
          <w:i/>
        </w:rPr>
        <w:t xml:space="preserve">Interac </w:t>
      </w:r>
    </w:p>
    <w:p w:rsidR="00DD1E1F" w:rsidRDefault="00570544" w:rsidP="000107A2">
      <w:pPr>
        <w:pStyle w:val="ONEBodyText"/>
      </w:pPr>
      <w:r>
        <w:t>T</w:t>
      </w:r>
      <w:r w:rsidR="00391555">
        <w:t xml:space="preserve">he </w:t>
      </w:r>
      <w:r w:rsidR="00391555" w:rsidRPr="00D53EB2">
        <w:rPr>
          <w:i/>
        </w:rPr>
        <w:t>Interac</w:t>
      </w:r>
      <w:r w:rsidR="00391555">
        <w:t xml:space="preserve"> case</w:t>
      </w:r>
      <w:r>
        <w:rPr>
          <w:rStyle w:val="FootnoteReference"/>
        </w:rPr>
        <w:footnoteReference w:id="28"/>
      </w:r>
      <w:r>
        <w:t xml:space="preserve"> was another consent</w:t>
      </w:r>
      <w:r w:rsidR="00391555">
        <w:t xml:space="preserve"> proceeding, although subject to significant challenge by objectors.  It involved a</w:t>
      </w:r>
      <w:r>
        <w:t>n effort</w:t>
      </w:r>
      <w:r w:rsidR="00DD1E1F">
        <w:t xml:space="preserve"> to open access to the Interac </w:t>
      </w:r>
      <w:r>
        <w:t>Automated Banking Machine (ABM)</w:t>
      </w:r>
      <w:r w:rsidR="00DD1E1F">
        <w:t xml:space="preserve"> network to a broader range of financial institutions.</w:t>
      </w:r>
      <w:r>
        <w:t xml:space="preserve">  The o</w:t>
      </w:r>
      <w:r w:rsidR="00DD1E1F">
        <w:t xml:space="preserve">rder </w:t>
      </w:r>
      <w:r>
        <w:t xml:space="preserve">contained a complex set of rules to allow for access to the system on non-discriminatory terms by a significant number of smaller financial institutions.  </w:t>
      </w:r>
      <w:r w:rsidR="00290A6C">
        <w:t>Interac</w:t>
      </w:r>
      <w:r w:rsidR="00DD1E1F">
        <w:t xml:space="preserve"> </w:t>
      </w:r>
      <w:proofErr w:type="gramStart"/>
      <w:r w:rsidR="00DD1E1F">
        <w:t>was not, how</w:t>
      </w:r>
      <w:r>
        <w:t>ever, required</w:t>
      </w:r>
      <w:proofErr w:type="gramEnd"/>
      <w:r>
        <w:t xml:space="preserve"> to divest assets</w:t>
      </w:r>
      <w:r w:rsidR="00290A6C">
        <w:t>, and</w:t>
      </w:r>
      <w:r>
        <w:t xml:space="preserve"> no attempt was made to </w:t>
      </w:r>
      <w:r w:rsidR="002247E8">
        <w:t xml:space="preserve">split the network to </w:t>
      </w:r>
      <w:r>
        <w:t>create a competing ABM network.</w:t>
      </w:r>
    </w:p>
    <w:p w:rsidR="00403384" w:rsidRPr="00D53EB2" w:rsidRDefault="00403384" w:rsidP="000107A2">
      <w:pPr>
        <w:pStyle w:val="Heading2"/>
        <w:rPr>
          <w:i/>
        </w:rPr>
      </w:pPr>
      <w:r w:rsidRPr="00D53EB2">
        <w:rPr>
          <w:i/>
        </w:rPr>
        <w:t>Tele-Direct</w:t>
      </w:r>
      <w:r w:rsidR="00D10763" w:rsidRPr="00D53EB2">
        <w:rPr>
          <w:i/>
        </w:rPr>
        <w:t xml:space="preserve"> </w:t>
      </w:r>
    </w:p>
    <w:p w:rsidR="00403384" w:rsidRDefault="00570544" w:rsidP="000107A2">
      <w:pPr>
        <w:pStyle w:val="ONEBodyText"/>
      </w:pPr>
      <w:r>
        <w:t>T</w:t>
      </w:r>
      <w:r w:rsidR="00A52A52">
        <w:t xml:space="preserve">he </w:t>
      </w:r>
      <w:r w:rsidR="00A52A52" w:rsidRPr="00D53EB2">
        <w:rPr>
          <w:i/>
        </w:rPr>
        <w:t>Tele-Direct</w:t>
      </w:r>
      <w:r w:rsidR="00A52A52">
        <w:t xml:space="preserve"> case</w:t>
      </w:r>
      <w:r>
        <w:rPr>
          <w:rStyle w:val="FootnoteReference"/>
        </w:rPr>
        <w:footnoteReference w:id="29"/>
      </w:r>
      <w:r w:rsidR="00A52A52">
        <w:t>, somewhat oddly</w:t>
      </w:r>
      <w:r>
        <w:t xml:space="preserve"> (although</w:t>
      </w:r>
      <w:r w:rsidR="00290A6C">
        <w:t>,</w:t>
      </w:r>
      <w:r>
        <w:t xml:space="preserve"> as is apparent from a cursory review of this note, there are some markets/businesses which are repeat visitors to the Canadian Competition Tribunal in abuse of dominance cases)</w:t>
      </w:r>
      <w:r w:rsidR="00A52A52">
        <w:t>, also involved Yellow Pages telephone directories.  In this case</w:t>
      </w:r>
      <w:r w:rsidR="003C75C9">
        <w:t>,</w:t>
      </w:r>
      <w:r w:rsidR="00A52A52">
        <w:t xml:space="preserve"> the complaint was that the largest publisher of </w:t>
      </w:r>
      <w:r>
        <w:t>such</w:t>
      </w:r>
      <w:r w:rsidR="00A52A52">
        <w:t xml:space="preserve"> directories in Canada was monopolizing the business of providing advertising agency services</w:t>
      </w:r>
      <w:r>
        <w:t xml:space="preserve"> to advertisers</w:t>
      </w:r>
      <w:r w:rsidR="00A52A52">
        <w:t xml:space="preserve"> with respect to </w:t>
      </w:r>
      <w:r w:rsidR="0030478D">
        <w:t>placement of</w:t>
      </w:r>
      <w:r>
        <w:t xml:space="preserve"> </w:t>
      </w:r>
      <w:r w:rsidR="00A52A52">
        <w:t xml:space="preserve">directory </w:t>
      </w:r>
      <w:r>
        <w:t>advertising</w:t>
      </w:r>
      <w:r w:rsidR="00A52A52">
        <w:t xml:space="preserve">, by tying the supply of such services to the supply of advertising in the directories, </w:t>
      </w:r>
      <w:proofErr w:type="gramStart"/>
      <w:r w:rsidR="00A52A52">
        <w:t>and also</w:t>
      </w:r>
      <w:proofErr w:type="gramEnd"/>
      <w:r w:rsidR="00A52A52">
        <w:t xml:space="preserve"> by means of </w:t>
      </w:r>
      <w:r>
        <w:t xml:space="preserve">alleged anti-competitive </w:t>
      </w:r>
      <w:r w:rsidR="00A52A52">
        <w:t xml:space="preserve">discounting. </w:t>
      </w:r>
    </w:p>
    <w:p w:rsidR="00A52A52" w:rsidRDefault="00A52A52" w:rsidP="000107A2">
      <w:pPr>
        <w:pStyle w:val="ONEBodyText"/>
      </w:pPr>
      <w:r>
        <w:t xml:space="preserve">The relatively modest remedy granted in this case was an order that the </w:t>
      </w:r>
      <w:r w:rsidR="00570544">
        <w:t>publisher</w:t>
      </w:r>
      <w:r>
        <w:t xml:space="preserve"> treat advertisers who chose to use other agencies in a non-discriminatory </w:t>
      </w:r>
      <w:proofErr w:type="gramStart"/>
      <w:r>
        <w:t>man</w:t>
      </w:r>
      <w:r w:rsidR="00290A6C">
        <w:t>ner,</w:t>
      </w:r>
      <w:proofErr w:type="gramEnd"/>
      <w:r w:rsidR="00290A6C">
        <w:t xml:space="preserve"> and that it</w:t>
      </w:r>
      <w:r>
        <w:t xml:space="preserve"> price advertising services and directory space</w:t>
      </w:r>
      <w:r w:rsidR="00570544">
        <w:t xml:space="preserve"> as</w:t>
      </w:r>
      <w:r>
        <w:t xml:space="preserve"> separate</w:t>
      </w:r>
      <w:r w:rsidR="00570544">
        <w:t xml:space="preserve"> products</w:t>
      </w:r>
      <w:r w:rsidR="00290A6C">
        <w:t xml:space="preserve"> so as to </w:t>
      </w:r>
      <w:r w:rsidR="00570544">
        <w:t>“untie” the supply of the two</w:t>
      </w:r>
      <w:r w:rsidR="00290A6C">
        <w:t>.</w:t>
      </w:r>
    </w:p>
    <w:p w:rsidR="00A52A52" w:rsidRDefault="00A52A52" w:rsidP="000107A2">
      <w:pPr>
        <w:pStyle w:val="ONEBodyText"/>
      </w:pPr>
      <w:r>
        <w:t xml:space="preserve">The </w:t>
      </w:r>
      <w:r w:rsidR="00D95D73">
        <w:t>remedy</w:t>
      </w:r>
      <w:r>
        <w:t xml:space="preserve"> appears to have had relatively limited market impact, in part</w:t>
      </w:r>
      <w:r w:rsidR="003C75C9">
        <w:t>,</w:t>
      </w:r>
      <w:r>
        <w:t xml:space="preserve"> perhaps</w:t>
      </w:r>
      <w:r w:rsidR="003C75C9">
        <w:t>,</w:t>
      </w:r>
      <w:r>
        <w:t xml:space="preserve"> because of the inherent ambiguity in respect of an order not to discriminate, and in part because Yellow Page directories became a dying business</w:t>
      </w:r>
      <w:r w:rsidR="002247E8">
        <w:t xml:space="preserve"> not that long</w:t>
      </w:r>
      <w:r>
        <w:t xml:space="preserve"> after the case concluded.</w:t>
      </w:r>
    </w:p>
    <w:p w:rsidR="00F12820" w:rsidRPr="00D53EB2" w:rsidRDefault="00F12820" w:rsidP="000107A2">
      <w:pPr>
        <w:pStyle w:val="Heading2"/>
        <w:rPr>
          <w:i/>
        </w:rPr>
      </w:pPr>
      <w:r w:rsidRPr="00D53EB2">
        <w:rPr>
          <w:i/>
        </w:rPr>
        <w:t xml:space="preserve">Heinz </w:t>
      </w:r>
    </w:p>
    <w:p w:rsidR="00F12820" w:rsidRDefault="00A52A52" w:rsidP="000107A2">
      <w:pPr>
        <w:pStyle w:val="ONEBodyText"/>
      </w:pPr>
      <w:r>
        <w:t>During the year 2000</w:t>
      </w:r>
      <w:r w:rsidR="003C75C9">
        <w:t>,</w:t>
      </w:r>
      <w:r>
        <w:t xml:space="preserve"> the Competition Bureau concluded an investigation into the actions of </w:t>
      </w:r>
      <w:r w:rsidRPr="00D53EB2">
        <w:rPr>
          <w:i/>
        </w:rPr>
        <w:t>H.J. Heinz</w:t>
      </w:r>
      <w:r w:rsidR="00D95D73">
        <w:rPr>
          <w:rStyle w:val="FootnoteReference"/>
        </w:rPr>
        <w:footnoteReference w:id="30"/>
      </w:r>
      <w:r>
        <w:t xml:space="preserve">, which </w:t>
      </w:r>
      <w:proofErr w:type="gramStart"/>
      <w:r>
        <w:t>was alleged</w:t>
      </w:r>
      <w:proofErr w:type="gramEnd"/>
      <w:r>
        <w:t xml:space="preserve"> to have </w:t>
      </w:r>
      <w:r w:rsidR="00290A6C">
        <w:t>abused a dominant position in the supply of jarred baby food through use of</w:t>
      </w:r>
      <w:r>
        <w:t xml:space="preserve"> exclusive supply arrangements with retailers</w:t>
      </w:r>
      <w:r w:rsidR="00290A6C">
        <w:t xml:space="preserve">.  </w:t>
      </w:r>
      <w:r>
        <w:t xml:space="preserve">The matter was resolved </w:t>
      </w:r>
      <w:proofErr w:type="gramStart"/>
      <w:r>
        <w:t>on the basis of</w:t>
      </w:r>
      <w:proofErr w:type="gramEnd"/>
      <w:r>
        <w:t xml:space="preserve"> undertakings given to the </w:t>
      </w:r>
      <w:r w:rsidR="00004239">
        <w:t>Commissioner</w:t>
      </w:r>
      <w:r>
        <w:t xml:space="preserve"> to cease the exclusivity arrangements.</w:t>
      </w:r>
      <w:r w:rsidR="0061784F">
        <w:t xml:space="preserve">  However, there was not any material degree of visible entry</w:t>
      </w:r>
      <w:r w:rsidR="0030478D">
        <w:t xml:space="preserve"> into the market</w:t>
      </w:r>
      <w:r w:rsidR="0061784F">
        <w:t xml:space="preserve"> in subsequent years.</w:t>
      </w:r>
    </w:p>
    <w:p w:rsidR="00F12820" w:rsidRPr="00D53EB2" w:rsidRDefault="00F12820" w:rsidP="000107A2">
      <w:pPr>
        <w:pStyle w:val="Heading2"/>
        <w:rPr>
          <w:i/>
        </w:rPr>
      </w:pPr>
      <w:r w:rsidRPr="00D53EB2">
        <w:rPr>
          <w:i/>
        </w:rPr>
        <w:t xml:space="preserve">Enbridge </w:t>
      </w:r>
    </w:p>
    <w:p w:rsidR="00F12820" w:rsidRDefault="0061784F" w:rsidP="000107A2">
      <w:pPr>
        <w:pStyle w:val="ONEBodyText"/>
      </w:pPr>
      <w:r>
        <w:t>T</w:t>
      </w:r>
      <w:r w:rsidR="00A52A52">
        <w:t>he</w:t>
      </w:r>
      <w:r>
        <w:t xml:space="preserve"> </w:t>
      </w:r>
      <w:r w:rsidRPr="00D53EB2">
        <w:rPr>
          <w:i/>
        </w:rPr>
        <w:t>Enbridge</w:t>
      </w:r>
      <w:r w:rsidR="00A52A52">
        <w:t xml:space="preserve"> case</w:t>
      </w:r>
      <w:r>
        <w:rPr>
          <w:rStyle w:val="FootnoteReference"/>
        </w:rPr>
        <w:footnoteReference w:id="31"/>
      </w:r>
      <w:r>
        <w:t xml:space="preserve"> </w:t>
      </w:r>
      <w:r w:rsidR="00A52A52">
        <w:t>was a consent resolutio</w:t>
      </w:r>
      <w:r w:rsidR="00290A6C">
        <w:t xml:space="preserve">n respecting a </w:t>
      </w:r>
      <w:r w:rsidR="00A52A52">
        <w:t>local monopoly gas supplier’s activities in relation to</w:t>
      </w:r>
      <w:r w:rsidR="0030478D">
        <w:t xml:space="preserve"> its ancillary</w:t>
      </w:r>
      <w:r w:rsidR="00A52A52">
        <w:t xml:space="preserve"> water heater rental</w:t>
      </w:r>
      <w:r w:rsidR="0030478D">
        <w:t xml:space="preserve"> business</w:t>
      </w:r>
      <w:r w:rsidR="00A52A52">
        <w:t>.  The</w:t>
      </w:r>
      <w:r>
        <w:t xml:space="preserve"> essential</w:t>
      </w:r>
      <w:r w:rsidR="00A52A52">
        <w:t xml:space="preserve"> allegation</w:t>
      </w:r>
      <w:r>
        <w:t xml:space="preserve"> was that</w:t>
      </w:r>
      <w:r w:rsidR="00A52A52">
        <w:t xml:space="preserve"> Enbridge made it difficult </w:t>
      </w:r>
      <w:r>
        <w:t>for</w:t>
      </w:r>
      <w:r w:rsidR="0030478D">
        <w:t xml:space="preserve"> existing</w:t>
      </w:r>
      <w:r>
        <w:t xml:space="preserve"> customers </w:t>
      </w:r>
      <w:r w:rsidR="00A52A52">
        <w:t>to return rental water heaters</w:t>
      </w:r>
      <w:r>
        <w:t>, thereby</w:t>
      </w:r>
      <w:r w:rsidR="00004239">
        <w:t xml:space="preserve"> discouraging</w:t>
      </w:r>
      <w:r>
        <w:t xml:space="preserve"> new entrants.  The resolution was an order contain</w:t>
      </w:r>
      <w:r w:rsidR="00515F51">
        <w:t>ing</w:t>
      </w:r>
      <w:r>
        <w:t xml:space="preserve"> various mechanical provisions to m</w:t>
      </w:r>
      <w:r w:rsidR="00290A6C">
        <w:t xml:space="preserve">ake cancelling rental contracts/returning </w:t>
      </w:r>
      <w:r w:rsidR="0030478D">
        <w:t>water</w:t>
      </w:r>
      <w:r w:rsidR="00290A6C">
        <w:t xml:space="preserve"> heaters </w:t>
      </w:r>
      <w:r>
        <w:t>easier</w:t>
      </w:r>
      <w:r w:rsidR="0030478D">
        <w:t xml:space="preserve"> for customers or their agents</w:t>
      </w:r>
      <w:r w:rsidR="00A52A52">
        <w:t>.</w:t>
      </w:r>
    </w:p>
    <w:p w:rsidR="00403384" w:rsidRPr="00D53EB2" w:rsidRDefault="00403384" w:rsidP="000107A2">
      <w:pPr>
        <w:pStyle w:val="Heading2"/>
        <w:rPr>
          <w:i/>
        </w:rPr>
      </w:pPr>
      <w:r w:rsidRPr="00D53EB2">
        <w:rPr>
          <w:i/>
        </w:rPr>
        <w:t xml:space="preserve">Air Canada </w:t>
      </w:r>
    </w:p>
    <w:p w:rsidR="00D92F1D" w:rsidRDefault="0061784F" w:rsidP="000107A2">
      <w:pPr>
        <w:pStyle w:val="ONEBodyText"/>
      </w:pPr>
      <w:r>
        <w:t>T</w:t>
      </w:r>
      <w:r w:rsidR="00A52A52">
        <w:t xml:space="preserve">he </w:t>
      </w:r>
      <w:r w:rsidRPr="00D53EB2">
        <w:rPr>
          <w:i/>
        </w:rPr>
        <w:t>Air Canada</w:t>
      </w:r>
      <w:r>
        <w:t xml:space="preserve"> </w:t>
      </w:r>
      <w:r w:rsidR="00A52A52">
        <w:t>case</w:t>
      </w:r>
      <w:r>
        <w:rPr>
          <w:rStyle w:val="FootnoteReference"/>
        </w:rPr>
        <w:footnoteReference w:id="32"/>
      </w:r>
      <w:r w:rsidR="00A52A52">
        <w:t xml:space="preserve"> involved a complex challenge to Air Canada’s conduct in respect of a number of routes to and within Atlantic Canada.  Th</w:t>
      </w:r>
      <w:r w:rsidR="002247E8">
        <w:t>e</w:t>
      </w:r>
      <w:r w:rsidR="00A52A52">
        <w:t xml:space="preserve"> case turned essentially on allegations of predatory conduct, and sought remedies requiring </w:t>
      </w:r>
      <w:r>
        <w:t xml:space="preserve">the </w:t>
      </w:r>
      <w:r w:rsidR="00A52A52">
        <w:t>chargin</w:t>
      </w:r>
      <w:r w:rsidR="00316E08">
        <w:t>g</w:t>
      </w:r>
      <w:r w:rsidR="00A52A52">
        <w:t xml:space="preserve"> </w:t>
      </w:r>
      <w:r w:rsidR="003C75C9">
        <w:t xml:space="preserve">of </w:t>
      </w:r>
      <w:r w:rsidR="00A52A52">
        <w:t xml:space="preserve">fares in excess of “avoidable cost”, </w:t>
      </w:r>
      <w:r>
        <w:t>and</w:t>
      </w:r>
      <w:r w:rsidR="0030478D">
        <w:t xml:space="preserve"> prohibiting the addition of</w:t>
      </w:r>
      <w:r>
        <w:t xml:space="preserve"> capacity on routes which were operating with revenues below avoidable cost</w:t>
      </w:r>
      <w:r w:rsidR="00316E08">
        <w:t xml:space="preserve">.  No structural remedy </w:t>
      </w:r>
      <w:proofErr w:type="gramStart"/>
      <w:r w:rsidR="00316E08">
        <w:t>was sought</w:t>
      </w:r>
      <w:proofErr w:type="gramEnd"/>
      <w:r w:rsidR="00316E08">
        <w:t>.</w:t>
      </w:r>
    </w:p>
    <w:p w:rsidR="00316E08" w:rsidRDefault="00316E08" w:rsidP="000107A2">
      <w:pPr>
        <w:pStyle w:val="ONEBodyText"/>
      </w:pPr>
      <w:r>
        <w:t xml:space="preserve">The </w:t>
      </w:r>
      <w:proofErr w:type="gramStart"/>
      <w:r>
        <w:t xml:space="preserve">case was ultimately </w:t>
      </w:r>
      <w:r w:rsidR="002247E8">
        <w:t>discontinued</w:t>
      </w:r>
      <w:r w:rsidR="0061784F">
        <w:t xml:space="preserve"> by the government before a final decision</w:t>
      </w:r>
      <w:r>
        <w:t>, as</w:t>
      </w:r>
      <w:r w:rsidR="0061784F">
        <w:t xml:space="preserve"> it concluded that</w:t>
      </w:r>
      <w:r>
        <w:t xml:space="preserve"> the events of September 11, 2001</w:t>
      </w:r>
      <w:r w:rsidR="0061784F">
        <w:t xml:space="preserve"> resulted in</w:t>
      </w:r>
      <w:r>
        <w:t xml:space="preserve"> such change</w:t>
      </w:r>
      <w:r w:rsidR="0061784F">
        <w:t>s</w:t>
      </w:r>
      <w:r>
        <w:t xml:space="preserve"> to the air</w:t>
      </w:r>
      <w:r w:rsidR="0061784F">
        <w:t>line</w:t>
      </w:r>
      <w:r>
        <w:t xml:space="preserve"> industry</w:t>
      </w:r>
      <w:r w:rsidR="0061784F">
        <w:t xml:space="preserve"> that the premise</w:t>
      </w:r>
      <w:r>
        <w:t xml:space="preserve"> upon which the case was based</w:t>
      </w:r>
      <w:r w:rsidR="0061784F">
        <w:t xml:space="preserve"> w</w:t>
      </w:r>
      <w:r w:rsidR="00004239">
        <w:t>as</w:t>
      </w:r>
      <w:r w:rsidR="0061784F">
        <w:t xml:space="preserve"> no longer applicable</w:t>
      </w:r>
      <w:proofErr w:type="gramEnd"/>
      <w:r>
        <w:t>.</w:t>
      </w:r>
    </w:p>
    <w:p w:rsidR="00F12820" w:rsidRPr="00D53EB2" w:rsidRDefault="00F12820" w:rsidP="000107A2">
      <w:pPr>
        <w:pStyle w:val="Heading2"/>
        <w:rPr>
          <w:i/>
        </w:rPr>
      </w:pPr>
      <w:r w:rsidRPr="00D53EB2">
        <w:rPr>
          <w:i/>
        </w:rPr>
        <w:t xml:space="preserve">IKO </w:t>
      </w:r>
    </w:p>
    <w:p w:rsidR="00F12820" w:rsidRDefault="00F12820" w:rsidP="000107A2">
      <w:pPr>
        <w:pStyle w:val="ONEBodyText"/>
      </w:pPr>
      <w:r>
        <w:t xml:space="preserve">In this </w:t>
      </w:r>
      <w:proofErr w:type="gramStart"/>
      <w:r>
        <w:t>case</w:t>
      </w:r>
      <w:proofErr w:type="gramEnd"/>
      <w:r>
        <w:rPr>
          <w:rStyle w:val="FootnoteReference"/>
        </w:rPr>
        <w:footnoteReference w:id="33"/>
      </w:r>
      <w:r w:rsidR="00316E08">
        <w:t xml:space="preserve"> the largest supplier of roofing shingles in </w:t>
      </w:r>
      <w:r w:rsidR="009224E7">
        <w:t>Canada agreed with the Competition Bureau to cease providing loyalty rebates to distributors</w:t>
      </w:r>
      <w:r w:rsidR="0061784F">
        <w:t>.  Instead</w:t>
      </w:r>
      <w:r w:rsidR="003C75C9">
        <w:t>,</w:t>
      </w:r>
      <w:r w:rsidR="0061784F">
        <w:t xml:space="preserve"> it</w:t>
      </w:r>
      <w:r w:rsidR="009224E7">
        <w:t xml:space="preserve"> agree</w:t>
      </w:r>
      <w:r w:rsidR="0061784F">
        <w:t>d</w:t>
      </w:r>
      <w:r w:rsidR="009224E7">
        <w:t xml:space="preserve"> to give customers a choice between loyalty rebates and volume-based rebates.</w:t>
      </w:r>
    </w:p>
    <w:p w:rsidR="00403384" w:rsidRPr="00D53EB2" w:rsidRDefault="00403384" w:rsidP="000107A2">
      <w:pPr>
        <w:pStyle w:val="Heading2"/>
        <w:rPr>
          <w:i/>
        </w:rPr>
      </w:pPr>
      <w:r w:rsidRPr="00D53EB2">
        <w:rPr>
          <w:i/>
        </w:rPr>
        <w:t>Canada Pipe</w:t>
      </w:r>
      <w:r w:rsidR="00D10763" w:rsidRPr="00D53EB2">
        <w:rPr>
          <w:i/>
        </w:rPr>
        <w:t xml:space="preserve"> </w:t>
      </w:r>
    </w:p>
    <w:p w:rsidR="009224E7" w:rsidRDefault="0061784F" w:rsidP="000107A2">
      <w:pPr>
        <w:pStyle w:val="ONEBodyText"/>
      </w:pPr>
      <w:r>
        <w:t xml:space="preserve">The </w:t>
      </w:r>
      <w:r w:rsidRPr="00D53EB2">
        <w:rPr>
          <w:i/>
        </w:rPr>
        <w:t>Canada Pipe</w:t>
      </w:r>
      <w:r>
        <w:t xml:space="preserve"> case</w:t>
      </w:r>
      <w:r>
        <w:rPr>
          <w:rStyle w:val="FootnoteReference"/>
        </w:rPr>
        <w:footnoteReference w:id="34"/>
      </w:r>
      <w:r>
        <w:t xml:space="preserve"> </w:t>
      </w:r>
      <w:r w:rsidR="009224E7">
        <w:t xml:space="preserve">was a hard-fought </w:t>
      </w:r>
      <w:r>
        <w:t>matter</w:t>
      </w:r>
      <w:r w:rsidR="003C75C9">
        <w:t>,</w:t>
      </w:r>
      <w:r w:rsidR="009224E7">
        <w:t xml:space="preserve"> which ultimately settled after a Tribunal decision and </w:t>
      </w:r>
      <w:r>
        <w:t>an</w:t>
      </w:r>
      <w:r w:rsidR="009224E7">
        <w:t xml:space="preserve"> appeal to the Federal Court of Appeal</w:t>
      </w:r>
      <w:r>
        <w:t>.</w:t>
      </w:r>
      <w:r w:rsidR="009224E7">
        <w:t xml:space="preserve">  The Commissioner alleged that Canada Pipe was monopolizing the cas</w:t>
      </w:r>
      <w:r>
        <w:t xml:space="preserve">t iron pipe market by imposing or inducing, via discounts, </w:t>
      </w:r>
      <w:r w:rsidR="009224E7">
        <w:t>exclusivity or quasi-exclusivity</w:t>
      </w:r>
      <w:r w:rsidR="002247E8">
        <w:t xml:space="preserve"> provisions</w:t>
      </w:r>
      <w:r w:rsidR="009224E7">
        <w:t xml:space="preserve"> in</w:t>
      </w:r>
      <w:r w:rsidR="002247E8">
        <w:t xml:space="preserve"> its</w:t>
      </w:r>
      <w:r w:rsidR="009224E7">
        <w:t xml:space="preserve"> </w:t>
      </w:r>
      <w:r>
        <w:t>ar</w:t>
      </w:r>
      <w:r w:rsidR="0030478D">
        <w:t>rangements with distributors.</w:t>
      </w:r>
      <w:r w:rsidR="009224E7">
        <w:t xml:space="preserve">  The Commissioner sought to enjoin </w:t>
      </w:r>
      <w:r w:rsidR="002247E8">
        <w:t>those contractual terms</w:t>
      </w:r>
      <w:r w:rsidR="009224E7">
        <w:t xml:space="preserve">.  </w:t>
      </w:r>
    </w:p>
    <w:p w:rsidR="001A1E31" w:rsidRDefault="00290A6C" w:rsidP="000107A2">
      <w:pPr>
        <w:pStyle w:val="ONEBodyText"/>
      </w:pPr>
      <w:r>
        <w:t>T</w:t>
      </w:r>
      <w:r w:rsidR="009224E7">
        <w:t xml:space="preserve">he case ultimately settled </w:t>
      </w:r>
      <w:proofErr w:type="gramStart"/>
      <w:r w:rsidR="009224E7">
        <w:t>on the basis of</w:t>
      </w:r>
      <w:proofErr w:type="gramEnd"/>
      <w:r w:rsidR="0061784F">
        <w:t xml:space="preserve"> </w:t>
      </w:r>
      <w:r w:rsidR="002247E8">
        <w:t xml:space="preserve">an </w:t>
      </w:r>
      <w:r w:rsidR="0061784F">
        <w:t>agreement to</w:t>
      </w:r>
      <w:r w:rsidR="009224E7">
        <w:t xml:space="preserve"> a revised rebate policy</w:t>
      </w:r>
      <w:r w:rsidR="0061784F">
        <w:t xml:space="preserve"> which did not contain</w:t>
      </w:r>
      <w:r w:rsidR="009224E7">
        <w:t xml:space="preserve"> </w:t>
      </w:r>
      <w:r w:rsidR="00716F78">
        <w:t xml:space="preserve">express </w:t>
      </w:r>
      <w:r w:rsidR="009224E7">
        <w:t>exclusivity requirements</w:t>
      </w:r>
      <w:r w:rsidR="0061784F">
        <w:t>.</w:t>
      </w:r>
    </w:p>
    <w:p w:rsidR="00F12820" w:rsidRPr="00D53EB2" w:rsidRDefault="00F12820" w:rsidP="000107A2">
      <w:pPr>
        <w:pStyle w:val="Heading2"/>
        <w:rPr>
          <w:i/>
        </w:rPr>
      </w:pPr>
      <w:r w:rsidRPr="00D53EB2">
        <w:rPr>
          <w:i/>
        </w:rPr>
        <w:t>Waste Services</w:t>
      </w:r>
    </w:p>
    <w:p w:rsidR="00F12820" w:rsidRDefault="00E53B9A" w:rsidP="000107A2">
      <w:pPr>
        <w:pStyle w:val="ONEBodyText"/>
      </w:pPr>
      <w:r>
        <w:t>This</w:t>
      </w:r>
      <w:r w:rsidR="009224E7">
        <w:t xml:space="preserve"> case</w:t>
      </w:r>
      <w:r>
        <w:rPr>
          <w:rStyle w:val="FootnoteReference"/>
        </w:rPr>
        <w:footnoteReference w:id="35"/>
      </w:r>
      <w:r w:rsidR="009224E7">
        <w:t xml:space="preserve"> involved a consent resolution of a joint dominance case – the first and so far only </w:t>
      </w:r>
      <w:r>
        <w:t>joint dominance</w:t>
      </w:r>
      <w:r w:rsidR="009224E7">
        <w:t xml:space="preserve"> case </w:t>
      </w:r>
      <w:proofErr w:type="gramStart"/>
      <w:r w:rsidR="009224E7">
        <w:t>which</w:t>
      </w:r>
      <w:proofErr w:type="gramEnd"/>
      <w:r w:rsidR="009224E7">
        <w:t xml:space="preserve"> did not involve an explicit agreement between the respondents.  The </w:t>
      </w:r>
      <w:r>
        <w:t>conduct in issue</w:t>
      </w:r>
      <w:r w:rsidR="00290A6C">
        <w:t xml:space="preserve"> involved</w:t>
      </w:r>
      <w:r>
        <w:t xml:space="preserve"> contractual arrangements</w:t>
      </w:r>
      <w:r w:rsidR="0030478D">
        <w:t xml:space="preserve"> similar to those which</w:t>
      </w:r>
      <w:r>
        <w:t xml:space="preserve"> Laidlaw had used, and </w:t>
      </w:r>
      <w:r w:rsidR="003D01CD">
        <w:t xml:space="preserve">in the same geographic market on Vancouver Island in which </w:t>
      </w:r>
      <w:r>
        <w:t>Laidlaw</w:t>
      </w:r>
      <w:r w:rsidR="003D01CD">
        <w:t xml:space="preserve"> ha</w:t>
      </w:r>
      <w:r w:rsidR="00290A6C">
        <w:t>d</w:t>
      </w:r>
      <w:r w:rsidR="003D01CD">
        <w:t xml:space="preserve"> been the subject of </w:t>
      </w:r>
      <w:r>
        <w:t>a proceeding</w:t>
      </w:r>
      <w:r w:rsidR="003D01CD">
        <w:t xml:space="preserve"> some fif</w:t>
      </w:r>
      <w:r>
        <w:t>teen</w:t>
      </w:r>
      <w:r w:rsidR="003D01CD">
        <w:t xml:space="preserve"> years before</w:t>
      </w:r>
      <w:r w:rsidR="00290A6C">
        <w:t xml:space="preserve">. </w:t>
      </w:r>
      <w:r w:rsidR="003D01CD">
        <w:t xml:space="preserve"> (</w:t>
      </w:r>
      <w:r w:rsidR="00290A6C">
        <w:t>S</w:t>
      </w:r>
      <w:r w:rsidR="003D01CD">
        <w:t xml:space="preserve">ee Section </w:t>
      </w:r>
      <w:r>
        <w:t>V</w:t>
      </w:r>
      <w:r w:rsidR="00D53EB2">
        <w:t xml:space="preserve"> </w:t>
      </w:r>
      <w:r>
        <w:t>(</w:t>
      </w:r>
      <w:r w:rsidR="0030478D">
        <w:t>b</w:t>
      </w:r>
      <w:r>
        <w:t>),</w:t>
      </w:r>
      <w:r w:rsidR="003D01CD">
        <w:t xml:space="preserve"> </w:t>
      </w:r>
      <w:r w:rsidR="00205B18">
        <w:t>above</w:t>
      </w:r>
      <w:r w:rsidR="003D01CD">
        <w:t>.</w:t>
      </w:r>
      <w:r w:rsidR="00290A6C">
        <w:t>)</w:t>
      </w:r>
    </w:p>
    <w:p w:rsidR="00A503A1" w:rsidRPr="00A503A1" w:rsidRDefault="00A503A1" w:rsidP="000107A2">
      <w:pPr>
        <w:pStyle w:val="ONEBodyText"/>
        <w:rPr>
          <w:i/>
        </w:rPr>
      </w:pPr>
      <w:r>
        <w:t>The remedy agreed was also similar to th</w:t>
      </w:r>
      <w:r w:rsidR="00E53B9A">
        <w:t>at</w:t>
      </w:r>
      <w:r>
        <w:t xml:space="preserve"> in </w:t>
      </w:r>
      <w:r w:rsidRPr="00D53EB2">
        <w:rPr>
          <w:i/>
        </w:rPr>
        <w:t>Laidlaw</w:t>
      </w:r>
      <w:r>
        <w:t xml:space="preserve"> – </w:t>
      </w:r>
      <w:proofErr w:type="gramStart"/>
      <w:r>
        <w:t>shorter term</w:t>
      </w:r>
      <w:proofErr w:type="gramEnd"/>
      <w:r>
        <w:t xml:space="preserve"> contracts and short term renewals, no rights of first refusal, no need to divulge other offers, limited liquidated damages</w:t>
      </w:r>
      <w:r w:rsidR="00E53B9A">
        <w:t xml:space="preserve">, and similar changes </w:t>
      </w:r>
      <w:r w:rsidR="0030478D">
        <w:t xml:space="preserve">so as </w:t>
      </w:r>
      <w:r w:rsidR="00E53B9A">
        <w:t>to permit customers to switch suppliers more easily</w:t>
      </w:r>
      <w:r>
        <w:t>.</w:t>
      </w:r>
    </w:p>
    <w:p w:rsidR="00F12820" w:rsidRPr="00D53EB2" w:rsidRDefault="00F12820" w:rsidP="000107A2">
      <w:pPr>
        <w:pStyle w:val="Heading2"/>
        <w:rPr>
          <w:i/>
        </w:rPr>
      </w:pPr>
      <w:r w:rsidRPr="00D53EB2">
        <w:rPr>
          <w:i/>
        </w:rPr>
        <w:t xml:space="preserve">CREA </w:t>
      </w:r>
    </w:p>
    <w:p w:rsidR="00F12820" w:rsidRDefault="00F12820" w:rsidP="000107A2">
      <w:pPr>
        <w:pStyle w:val="ONEBodyText"/>
      </w:pPr>
      <w:r>
        <w:t>In this case</w:t>
      </w:r>
      <w:r>
        <w:rPr>
          <w:rStyle w:val="FootnoteReference"/>
        </w:rPr>
        <w:footnoteReference w:id="36"/>
      </w:r>
      <w:r w:rsidR="00A503A1">
        <w:t xml:space="preserve"> the </w:t>
      </w:r>
      <w:r w:rsidR="00716F78">
        <w:t>Commissioner</w:t>
      </w:r>
      <w:r w:rsidR="00A503A1">
        <w:t xml:space="preserve"> challenged rules established by the Canadian Real Estate Association </w:t>
      </w:r>
      <w:r w:rsidR="00E53B9A">
        <w:t>(CREA)</w:t>
      </w:r>
      <w:r w:rsidR="000C47E7">
        <w:t>,</w:t>
      </w:r>
      <w:r w:rsidR="00E53B9A">
        <w:t xml:space="preserve"> </w:t>
      </w:r>
      <w:r w:rsidR="00A503A1">
        <w:t xml:space="preserve">owner of the “Realtor” and </w:t>
      </w:r>
      <w:r w:rsidR="00290A6C">
        <w:t>“</w:t>
      </w:r>
      <w:r w:rsidR="000C47E7">
        <w:t>Multiple</w:t>
      </w:r>
      <w:r w:rsidR="00290A6C">
        <w:t xml:space="preserve"> Listing Service/MLS” </w:t>
      </w:r>
      <w:r w:rsidR="00A503A1">
        <w:t xml:space="preserve">trademarks.  </w:t>
      </w:r>
      <w:r w:rsidR="000C47E7">
        <w:t>It sought an order that CREA not condition the</w:t>
      </w:r>
      <w:r w:rsidR="00A503A1">
        <w:t xml:space="preserve"> licenc</w:t>
      </w:r>
      <w:r w:rsidR="000C47E7">
        <w:t>ing</w:t>
      </w:r>
      <w:r w:rsidR="00A503A1">
        <w:t xml:space="preserve"> of </w:t>
      </w:r>
      <w:r w:rsidR="000C47E7">
        <w:t xml:space="preserve">its marks on </w:t>
      </w:r>
      <w:proofErr w:type="gramStart"/>
      <w:r w:rsidR="000C47E7">
        <w:t>rules which</w:t>
      </w:r>
      <w:proofErr w:type="gramEnd"/>
      <w:r w:rsidR="000C47E7">
        <w:t xml:space="preserve"> essentially</w:t>
      </w:r>
      <w:r w:rsidR="00290A6C">
        <w:t xml:space="preserve"> required</w:t>
      </w:r>
      <w:r w:rsidR="00A503A1">
        <w:t xml:space="preserve"> the </w:t>
      </w:r>
      <w:r w:rsidR="000C47E7">
        <w:t xml:space="preserve">purchase of </w:t>
      </w:r>
      <w:r w:rsidR="00A503A1">
        <w:t xml:space="preserve">a full </w:t>
      </w:r>
      <w:r w:rsidR="00290A6C">
        <w:t>suite</w:t>
      </w:r>
      <w:r w:rsidR="00A503A1">
        <w:t xml:space="preserve"> of bro</w:t>
      </w:r>
      <w:r w:rsidR="000C47E7">
        <w:t>ker</w:t>
      </w:r>
      <w:r w:rsidR="00A503A1">
        <w:t xml:space="preserve"> </w:t>
      </w:r>
      <w:r w:rsidR="00290A6C">
        <w:t>representative services by clients</w:t>
      </w:r>
      <w:r w:rsidR="000C47E7">
        <w:t>.  CREA settled the case on that basis.</w:t>
      </w:r>
    </w:p>
    <w:p w:rsidR="00F12820" w:rsidRPr="00D53EB2" w:rsidRDefault="00F12820" w:rsidP="000107A2">
      <w:pPr>
        <w:pStyle w:val="Heading2"/>
        <w:rPr>
          <w:i/>
        </w:rPr>
      </w:pPr>
      <w:r w:rsidRPr="00D53EB2">
        <w:rPr>
          <w:i/>
        </w:rPr>
        <w:t>Direct Energy</w:t>
      </w:r>
      <w:r w:rsidR="001A1E31" w:rsidRPr="00D53EB2">
        <w:rPr>
          <w:i/>
        </w:rPr>
        <w:t xml:space="preserve"> &amp; Reliance Home Comfort</w:t>
      </w:r>
    </w:p>
    <w:p w:rsidR="00183781" w:rsidRDefault="000C47E7" w:rsidP="000107A2">
      <w:pPr>
        <w:pStyle w:val="ONEBodyText"/>
      </w:pPr>
      <w:r>
        <w:t>T</w:t>
      </w:r>
      <w:r w:rsidR="00183781">
        <w:t>hese cases</w:t>
      </w:r>
      <w:r>
        <w:rPr>
          <w:rStyle w:val="FootnoteReference"/>
        </w:rPr>
        <w:footnoteReference w:id="37"/>
      </w:r>
      <w:r w:rsidR="00183781">
        <w:t xml:space="preserve"> </w:t>
      </w:r>
      <w:proofErr w:type="gramStart"/>
      <w:r w:rsidR="00183781">
        <w:t>were brought</w:t>
      </w:r>
      <w:proofErr w:type="gramEnd"/>
      <w:r w:rsidR="00183781">
        <w:t xml:space="preserve"> against two water heater rental companies.  The </w:t>
      </w:r>
      <w:r w:rsidR="00290A6C">
        <w:t>conduct</w:t>
      </w:r>
      <w:r w:rsidR="00183781">
        <w:t xml:space="preserve"> the Commissioner </w:t>
      </w:r>
      <w:r w:rsidR="00290A6C">
        <w:t>challenged</w:t>
      </w:r>
      <w:r w:rsidR="00183781">
        <w:t>, like in the</w:t>
      </w:r>
      <w:r>
        <w:t xml:space="preserve"> </w:t>
      </w:r>
      <w:r w:rsidRPr="00D53EB2">
        <w:rPr>
          <w:i/>
        </w:rPr>
        <w:t>Enbridge</w:t>
      </w:r>
      <w:r w:rsidR="00183781">
        <w:t xml:space="preserve"> case noted </w:t>
      </w:r>
      <w:r w:rsidR="00205B18">
        <w:t xml:space="preserve">above </w:t>
      </w:r>
      <w:r w:rsidR="00183781">
        <w:t xml:space="preserve">(Section </w:t>
      </w:r>
      <w:r w:rsidR="0030478D">
        <w:t>V</w:t>
      </w:r>
      <w:r w:rsidR="00D53EB2">
        <w:t xml:space="preserve"> </w:t>
      </w:r>
      <w:r w:rsidR="0030478D">
        <w:t>(h</w:t>
      </w:r>
      <w:r>
        <w:t>)</w:t>
      </w:r>
      <w:r w:rsidR="00183781">
        <w:t>)</w:t>
      </w:r>
      <w:r w:rsidR="00205B18">
        <w:t>,</w:t>
      </w:r>
      <w:r w:rsidR="00183781">
        <w:t xml:space="preserve"> </w:t>
      </w:r>
      <w:r w:rsidR="00290A6C">
        <w:t>focused</w:t>
      </w:r>
      <w:r w:rsidR="00183781">
        <w:t xml:space="preserve"> on tying customers into long</w:t>
      </w:r>
      <w:r w:rsidR="00205B18">
        <w:t>-</w:t>
      </w:r>
      <w:r w:rsidR="00183781">
        <w:t xml:space="preserve">term </w:t>
      </w:r>
      <w:r>
        <w:t>rental</w:t>
      </w:r>
      <w:r w:rsidR="00183781">
        <w:t xml:space="preserve"> contracts and making it difficult to switch suppliers</w:t>
      </w:r>
      <w:r>
        <w:t xml:space="preserve">.  </w:t>
      </w:r>
      <w:r w:rsidR="0030478D">
        <w:t>T</w:t>
      </w:r>
      <w:r>
        <w:t>he</w:t>
      </w:r>
      <w:r w:rsidR="00183781">
        <w:t xml:space="preserve"> remedy sought (and achieved by settlement </w:t>
      </w:r>
      <w:r>
        <w:t>against Reliance) was</w:t>
      </w:r>
      <w:r w:rsidR="00183781">
        <w:t xml:space="preserve"> similar to those in the </w:t>
      </w:r>
      <w:r w:rsidRPr="00D53EB2">
        <w:rPr>
          <w:i/>
        </w:rPr>
        <w:t>Enbridge</w:t>
      </w:r>
      <w:r>
        <w:t xml:space="preserve"> case, although more </w:t>
      </w:r>
      <w:r w:rsidR="0030478D">
        <w:t>detailed</w:t>
      </w:r>
      <w:r w:rsidR="00290A6C">
        <w:t>.</w:t>
      </w:r>
      <w:r w:rsidR="00183781">
        <w:t xml:space="preserve">  There was also a $5M </w:t>
      </w:r>
      <w:r>
        <w:t>Administrative Monetary Penalty</w:t>
      </w:r>
      <w:r w:rsidR="00290A6C">
        <w:t xml:space="preserve"> (AMP)</w:t>
      </w:r>
      <w:r w:rsidR="00183781">
        <w:t>.</w:t>
      </w:r>
    </w:p>
    <w:p w:rsidR="00F12820" w:rsidRDefault="000C47E7" w:rsidP="000107A2">
      <w:pPr>
        <w:pStyle w:val="ONEBodyText"/>
      </w:pPr>
      <w:r>
        <w:t>D</w:t>
      </w:r>
      <w:r w:rsidR="00183781">
        <w:t>irect Energy ha</w:t>
      </w:r>
      <w:r>
        <w:t>d</w:t>
      </w:r>
      <w:r w:rsidR="00183781">
        <w:t xml:space="preserve"> sold its water heater business after the proceeding </w:t>
      </w:r>
      <w:proofErr w:type="gramStart"/>
      <w:r w:rsidR="00183781">
        <w:t>was launched</w:t>
      </w:r>
      <w:proofErr w:type="gramEnd"/>
      <w:r>
        <w:t xml:space="preserve">.  </w:t>
      </w:r>
      <w:proofErr w:type="gramStart"/>
      <w:r>
        <w:t>Consequently</w:t>
      </w:r>
      <w:proofErr w:type="gramEnd"/>
      <w:r>
        <w:t xml:space="preserve"> the agreed </w:t>
      </w:r>
      <w:r w:rsidR="00183781">
        <w:t xml:space="preserve">resolution with Direct involved a payment of a $1M AMP, as well as conditions which </w:t>
      </w:r>
      <w:r w:rsidR="00AB7DB4">
        <w:t>would</w:t>
      </w:r>
      <w:r w:rsidR="00183781">
        <w:t xml:space="preserve"> a</w:t>
      </w:r>
      <w:r w:rsidR="00AB7DB4">
        <w:t>pply if it</w:t>
      </w:r>
      <w:r>
        <w:t xml:space="preserve"> were to</w:t>
      </w:r>
      <w:r w:rsidR="00AB7DB4">
        <w:t xml:space="preserve"> re-enter the water heater rental business.</w:t>
      </w:r>
    </w:p>
    <w:p w:rsidR="00403384" w:rsidRPr="00D53EB2" w:rsidRDefault="00403384" w:rsidP="000107A2">
      <w:pPr>
        <w:pStyle w:val="Heading2"/>
        <w:rPr>
          <w:i/>
        </w:rPr>
      </w:pPr>
      <w:r w:rsidRPr="00D53EB2">
        <w:rPr>
          <w:i/>
        </w:rPr>
        <w:t>TREB</w:t>
      </w:r>
      <w:r w:rsidR="00D10763" w:rsidRPr="00D53EB2">
        <w:rPr>
          <w:i/>
        </w:rPr>
        <w:t xml:space="preserve"> </w:t>
      </w:r>
    </w:p>
    <w:p w:rsidR="00403384" w:rsidRDefault="00403384" w:rsidP="000107A2">
      <w:pPr>
        <w:pStyle w:val="ONEBodyText"/>
      </w:pPr>
      <w:r>
        <w:t xml:space="preserve">In </w:t>
      </w:r>
      <w:r w:rsidR="009172F6">
        <w:t xml:space="preserve">the </w:t>
      </w:r>
      <w:r w:rsidR="009172F6" w:rsidRPr="00D53EB2">
        <w:rPr>
          <w:i/>
        </w:rPr>
        <w:t>Toronto Real Estate Board</w:t>
      </w:r>
      <w:r w:rsidR="000C47E7" w:rsidRPr="00D53EB2">
        <w:rPr>
          <w:i/>
        </w:rPr>
        <w:t xml:space="preserve"> (TREB)</w:t>
      </w:r>
      <w:r w:rsidR="009172F6">
        <w:t xml:space="preserve"> </w:t>
      </w:r>
      <w:proofErr w:type="gramStart"/>
      <w:r w:rsidR="009172F6">
        <w:t>case</w:t>
      </w:r>
      <w:proofErr w:type="gramEnd"/>
      <w:r w:rsidR="000C47E7">
        <w:rPr>
          <w:rStyle w:val="FootnoteReference"/>
        </w:rPr>
        <w:footnoteReference w:id="38"/>
      </w:r>
      <w:r w:rsidR="009172F6">
        <w:t xml:space="preserve"> </w:t>
      </w:r>
      <w:r w:rsidR="000C47E7">
        <w:t xml:space="preserve">the </w:t>
      </w:r>
      <w:r w:rsidR="009172F6">
        <w:t xml:space="preserve">allegation was that TREB </w:t>
      </w:r>
      <w:r w:rsidR="002247E8">
        <w:t>had used</w:t>
      </w:r>
      <w:r w:rsidR="009172F6">
        <w:t xml:space="preserve"> control </w:t>
      </w:r>
      <w:r w:rsidR="000C47E7">
        <w:t xml:space="preserve">over the MLS trademarks and system </w:t>
      </w:r>
      <w:r w:rsidR="009172F6">
        <w:t>to restrict the type of online services which brokers could offer consumers.  In that regard</w:t>
      </w:r>
      <w:r w:rsidR="00205B18">
        <w:t>,</w:t>
      </w:r>
      <w:r w:rsidR="009172F6">
        <w:t xml:space="preserve"> it was similar in some respects to the type of restriction challenged in the </w:t>
      </w:r>
      <w:r w:rsidR="009172F6" w:rsidRPr="00D53EB2">
        <w:rPr>
          <w:i/>
        </w:rPr>
        <w:t>CREA</w:t>
      </w:r>
      <w:r w:rsidR="009172F6">
        <w:t xml:space="preserve"> case</w:t>
      </w:r>
      <w:r w:rsidR="000C47E7">
        <w:t xml:space="preserve"> (see Section V</w:t>
      </w:r>
      <w:r w:rsidR="00D53EB2">
        <w:t xml:space="preserve"> </w:t>
      </w:r>
      <w:r w:rsidR="000C47E7">
        <w:t>(</w:t>
      </w:r>
      <w:r w:rsidR="0030478D">
        <w:t>m</w:t>
      </w:r>
      <w:r w:rsidR="000C47E7">
        <w:t>))</w:t>
      </w:r>
      <w:r w:rsidR="009172F6">
        <w:t>.</w:t>
      </w:r>
    </w:p>
    <w:p w:rsidR="009172F6" w:rsidRDefault="009172F6" w:rsidP="000107A2">
      <w:pPr>
        <w:pStyle w:val="ONEBodyText"/>
      </w:pPr>
      <w:r>
        <w:t xml:space="preserve">The Commissioner sought an order </w:t>
      </w:r>
      <w:r w:rsidR="000C47E7">
        <w:t xml:space="preserve">that TREB remove </w:t>
      </w:r>
      <w:r w:rsidR="002247E8">
        <w:t xml:space="preserve">the </w:t>
      </w:r>
      <w:proofErr w:type="gramStart"/>
      <w:r w:rsidR="000C47E7">
        <w:t>rules</w:t>
      </w:r>
      <w:r>
        <w:t xml:space="preserve"> which</w:t>
      </w:r>
      <w:proofErr w:type="gramEnd"/>
      <w:r>
        <w:t xml:space="preserve"> prevented brokers from offering Virtual Office Website</w:t>
      </w:r>
      <w:r w:rsidR="000C47E7">
        <w:t xml:space="preserve"> (VOW).  That is, essentially providing less expensive/exte</w:t>
      </w:r>
      <w:r w:rsidR="00716F78">
        <w:t>nsive services through websites</w:t>
      </w:r>
      <w:r w:rsidR="000C47E7">
        <w:t>.  It also sought an order that TREB</w:t>
      </w:r>
      <w:r>
        <w:t xml:space="preserve"> provide information to brokers necessary for the</w:t>
      </w:r>
      <w:r w:rsidR="0030478D">
        <w:t>m to</w:t>
      </w:r>
      <w:r>
        <w:t xml:space="preserve"> provi</w:t>
      </w:r>
      <w:r w:rsidR="0030478D">
        <w:t>de</w:t>
      </w:r>
      <w:r>
        <w:t xml:space="preserve"> such </w:t>
      </w:r>
      <w:r w:rsidR="000C47E7">
        <w:t xml:space="preserve">VOW </w:t>
      </w:r>
      <w:r>
        <w:t>services.</w:t>
      </w:r>
    </w:p>
    <w:p w:rsidR="009172F6" w:rsidRDefault="009172F6" w:rsidP="000107A2">
      <w:pPr>
        <w:pStyle w:val="ONEBodyText"/>
      </w:pPr>
      <w:r>
        <w:t xml:space="preserve">After making its </w:t>
      </w:r>
      <w:r w:rsidR="000C47E7">
        <w:t>decision</w:t>
      </w:r>
      <w:r>
        <w:t xml:space="preserve"> on </w:t>
      </w:r>
      <w:r w:rsidR="000C47E7">
        <w:t>liability</w:t>
      </w:r>
      <w:r w:rsidR="00205B18">
        <w:t>,</w:t>
      </w:r>
      <w:r>
        <w:t xml:space="preserve"> the Tribunal co</w:t>
      </w:r>
      <w:r w:rsidR="000C47E7">
        <w:t>nvened</w:t>
      </w:r>
      <w:r>
        <w:t xml:space="preserve"> a separate hearing to address the appropriate remedy.  Ultimately</w:t>
      </w:r>
      <w:r w:rsidR="00205B18">
        <w:t>,</w:t>
      </w:r>
      <w:r>
        <w:t xml:space="preserve"> the Tribunal </w:t>
      </w:r>
      <w:r w:rsidR="00290A6C">
        <w:t>prohibited</w:t>
      </w:r>
      <w:r>
        <w:t xml:space="preserve"> the </w:t>
      </w:r>
      <w:proofErr w:type="gramStart"/>
      <w:r>
        <w:t>rules which</w:t>
      </w:r>
      <w:proofErr w:type="gramEnd"/>
      <w:r>
        <w:t xml:space="preserve"> restrict</w:t>
      </w:r>
      <w:r w:rsidR="00290A6C">
        <w:t>ed</w:t>
      </w:r>
      <w:r>
        <w:t xml:space="preserve"> the ope</w:t>
      </w:r>
      <w:r w:rsidR="00290A6C">
        <w:t>ration</w:t>
      </w:r>
      <w:r>
        <w:t xml:space="preserve"> of </w:t>
      </w:r>
      <w:r w:rsidR="000C47E7">
        <w:t>VOW</w:t>
      </w:r>
      <w:r w:rsidR="0030478D">
        <w:t>s</w:t>
      </w:r>
      <w:r>
        <w:t>, and</w:t>
      </w:r>
      <w:r w:rsidR="00515F51">
        <w:t xml:space="preserve"> </w:t>
      </w:r>
      <w:r w:rsidR="00290A6C">
        <w:t>ordered th</w:t>
      </w:r>
      <w:r w:rsidR="00742724">
        <w:t>at TREB had a</w:t>
      </w:r>
      <w:r w:rsidR="000C47E7">
        <w:t xml:space="preserve"> positive obligation </w:t>
      </w:r>
      <w:r>
        <w:t xml:space="preserve">to supply </w:t>
      </w:r>
      <w:r w:rsidR="002247E8">
        <w:t>data necessary</w:t>
      </w:r>
      <w:r>
        <w:t xml:space="preserve"> for such website offerings.</w:t>
      </w:r>
    </w:p>
    <w:p w:rsidR="00A663D1" w:rsidRPr="00D53EB2" w:rsidRDefault="00A663D1" w:rsidP="000107A2">
      <w:pPr>
        <w:pStyle w:val="Heading2"/>
        <w:rPr>
          <w:i/>
        </w:rPr>
      </w:pPr>
      <w:proofErr w:type="spellStart"/>
      <w:r w:rsidRPr="00D53EB2">
        <w:rPr>
          <w:i/>
        </w:rPr>
        <w:t>Softvoyage</w:t>
      </w:r>
      <w:proofErr w:type="spellEnd"/>
      <w:r w:rsidRPr="00D53EB2">
        <w:rPr>
          <w:i/>
        </w:rPr>
        <w:t xml:space="preserve"> </w:t>
      </w:r>
    </w:p>
    <w:p w:rsidR="000C5D92" w:rsidRDefault="000C47E7" w:rsidP="000107A2">
      <w:pPr>
        <w:pStyle w:val="ONEBodyText"/>
      </w:pPr>
      <w:proofErr w:type="gramStart"/>
      <w:r>
        <w:t>This</w:t>
      </w:r>
      <w:r w:rsidR="009172F6">
        <w:t xml:space="preserve"> case</w:t>
      </w:r>
      <w:r>
        <w:rPr>
          <w:rStyle w:val="FootnoteReference"/>
        </w:rPr>
        <w:footnoteReference w:id="39"/>
      </w:r>
      <w:r w:rsidR="009172F6">
        <w:t xml:space="preserve"> involved restrictions</w:t>
      </w:r>
      <w:proofErr w:type="gramEnd"/>
      <w:r w:rsidR="009172F6">
        <w:t xml:space="preserve"> employed </w:t>
      </w:r>
      <w:r w:rsidR="000C5D92">
        <w:t xml:space="preserve">by a supplier of </w:t>
      </w:r>
      <w:r>
        <w:t>packaged holiday</w:t>
      </w:r>
      <w:r w:rsidR="000C5D92">
        <w:t xml:space="preserve"> software</w:t>
      </w:r>
      <w:r w:rsidR="002247E8">
        <w:t>,</w:t>
      </w:r>
      <w:r w:rsidR="000C5D92">
        <w:t xml:space="preserve"> which allegedly locked tour operators and </w:t>
      </w:r>
      <w:r w:rsidR="00742724">
        <w:t xml:space="preserve">travel </w:t>
      </w:r>
      <w:r w:rsidR="000C5D92">
        <w:t xml:space="preserve">agents </w:t>
      </w:r>
      <w:r w:rsidR="00742724">
        <w:t xml:space="preserve">in to use of its software </w:t>
      </w:r>
      <w:r>
        <w:t xml:space="preserve">and prevented them </w:t>
      </w:r>
      <w:r w:rsidR="000C5D92">
        <w:t>from using software supplied by others</w:t>
      </w:r>
      <w:r>
        <w:t xml:space="preserve">.  It </w:t>
      </w:r>
      <w:proofErr w:type="gramStart"/>
      <w:r>
        <w:t xml:space="preserve">was </w:t>
      </w:r>
      <w:r w:rsidR="00742724">
        <w:t xml:space="preserve">also </w:t>
      </w:r>
      <w:r>
        <w:t>alleged</w:t>
      </w:r>
      <w:proofErr w:type="gramEnd"/>
      <w:r>
        <w:t xml:space="preserve"> to have tied</w:t>
      </w:r>
      <w:r w:rsidR="000C5D92">
        <w:t xml:space="preserve"> the use of its tour operator/compilation software to its </w:t>
      </w:r>
      <w:r w:rsidR="002247E8">
        <w:t xml:space="preserve">travel </w:t>
      </w:r>
      <w:r w:rsidR="000C5D92">
        <w:t xml:space="preserve">booking software.  </w:t>
      </w:r>
    </w:p>
    <w:p w:rsidR="00A663D1" w:rsidRDefault="000C5D92" w:rsidP="000107A2">
      <w:pPr>
        <w:pStyle w:val="ONEBodyText"/>
      </w:pPr>
      <w:r>
        <w:t xml:space="preserve">The parties settled the proceeding by agreeing to eliminate exclusivity provisions </w:t>
      </w:r>
      <w:proofErr w:type="spellStart"/>
      <w:r>
        <w:t>and</w:t>
      </w:r>
      <w:r w:rsidR="00742724">
        <w:t>agreeing</w:t>
      </w:r>
      <w:proofErr w:type="spellEnd"/>
      <w:r w:rsidR="00742724">
        <w:t xml:space="preserve"> to</w:t>
      </w:r>
      <w:r w:rsidR="000C47E7">
        <w:t xml:space="preserve"> a positive obligation</w:t>
      </w:r>
      <w:r>
        <w:t xml:space="preserve"> to facilitate connection with software provided by others.</w:t>
      </w:r>
    </w:p>
    <w:p w:rsidR="00403384" w:rsidRPr="00D53EB2" w:rsidRDefault="00403384" w:rsidP="000107A2">
      <w:pPr>
        <w:pStyle w:val="Heading2"/>
        <w:rPr>
          <w:i/>
        </w:rPr>
      </w:pPr>
      <w:r w:rsidRPr="00D53EB2">
        <w:rPr>
          <w:i/>
        </w:rPr>
        <w:t>Vancouver Airport Authority</w:t>
      </w:r>
      <w:r w:rsidR="00D10763" w:rsidRPr="00D53EB2">
        <w:rPr>
          <w:i/>
        </w:rPr>
        <w:t xml:space="preserve"> </w:t>
      </w:r>
    </w:p>
    <w:p w:rsidR="005A5B6E" w:rsidRDefault="000C47E7" w:rsidP="000107A2">
      <w:pPr>
        <w:pStyle w:val="ONEBodyText"/>
      </w:pPr>
      <w:proofErr w:type="gramStart"/>
      <w:r>
        <w:t>T</w:t>
      </w:r>
      <w:r w:rsidR="000C5D92">
        <w:t>he case</w:t>
      </w:r>
      <w:r>
        <w:rPr>
          <w:rStyle w:val="FootnoteReference"/>
        </w:rPr>
        <w:footnoteReference w:id="40"/>
      </w:r>
      <w:r w:rsidR="000C5D92">
        <w:t xml:space="preserve"> involved a challenge to the </w:t>
      </w:r>
      <w:r>
        <w:t>a</w:t>
      </w:r>
      <w:r w:rsidR="000C5D92">
        <w:t>uthority which own</w:t>
      </w:r>
      <w:r w:rsidR="00716F78">
        <w:t>ed</w:t>
      </w:r>
      <w:r w:rsidR="000C5D92">
        <w:t xml:space="preserve"> and operate</w:t>
      </w:r>
      <w:r w:rsidR="00742724">
        <w:t>d</w:t>
      </w:r>
      <w:r w:rsidR="000C5D92">
        <w:t xml:space="preserve"> the Vancouver International Airport</w:t>
      </w:r>
      <w:r>
        <w:t xml:space="preserve"> (VAA)</w:t>
      </w:r>
      <w:r w:rsidR="000C5D92">
        <w:t xml:space="preserve">, alleging that its policy of permitting only two catering services to operate at the airport led to a substantial lessening or prevention of competition, and sought to </w:t>
      </w:r>
      <w:r w:rsidR="00685154">
        <w:t>compel</w:t>
      </w:r>
      <w:r w:rsidR="000C5D92">
        <w:t xml:space="preserve"> it to allow additional firms to operate catering services at the airport, or supply airline meals to airlines using the airport.</w:t>
      </w:r>
      <w:proofErr w:type="gramEnd"/>
    </w:p>
    <w:p w:rsidR="000C5D92" w:rsidRDefault="00685154" w:rsidP="000107A2">
      <w:pPr>
        <w:pStyle w:val="ONEBodyText"/>
      </w:pPr>
      <w:r>
        <w:t>T</w:t>
      </w:r>
      <w:r w:rsidR="000C5D92">
        <w:t xml:space="preserve">he Tribunal concluded that the Commissioner had not proven his case, so no order </w:t>
      </w:r>
      <w:proofErr w:type="gramStart"/>
      <w:r w:rsidR="000C5D92">
        <w:t>was made</w:t>
      </w:r>
      <w:proofErr w:type="gramEnd"/>
      <w:r w:rsidR="000C5D92">
        <w:t>.</w:t>
      </w:r>
    </w:p>
    <w:p w:rsidR="00CD1F3C" w:rsidRDefault="00CD1F3C" w:rsidP="000107A2">
      <w:pPr>
        <w:pStyle w:val="ListParagraph"/>
        <w:numPr>
          <w:ilvl w:val="0"/>
          <w:numId w:val="17"/>
        </w:numPr>
        <w:rPr>
          <w:rFonts w:ascii="Times New Roman Bold" w:hAnsi="Times New Roman Bold"/>
          <w:b/>
          <w:caps/>
        </w:rPr>
      </w:pPr>
      <w:r w:rsidRPr="00CD1F3C">
        <w:rPr>
          <w:rFonts w:ascii="Times New Roman Bold" w:hAnsi="Times New Roman Bold"/>
          <w:b/>
          <w:caps/>
        </w:rPr>
        <w:t>Conclusions</w:t>
      </w:r>
    </w:p>
    <w:p w:rsidR="00742724" w:rsidRDefault="00742724" w:rsidP="000107A2">
      <w:pPr>
        <w:pStyle w:val="ONEBodyText"/>
      </w:pPr>
      <w:r w:rsidRPr="00742724">
        <w:t xml:space="preserve">As we </w:t>
      </w:r>
      <w:r w:rsidR="0030478D">
        <w:t>have outlined,</w:t>
      </w:r>
      <w:r w:rsidRPr="00742724">
        <w:t xml:space="preserve"> there have been</w:t>
      </w:r>
      <w:r>
        <w:t xml:space="preserve"> no truly </w:t>
      </w:r>
      <w:r w:rsidRPr="00742724">
        <w:t xml:space="preserve">structural remedies ordered since the Canadian </w:t>
      </w:r>
      <w:r w:rsidRPr="0030478D">
        <w:rPr>
          <w:i/>
        </w:rPr>
        <w:t>Competition Act</w:t>
      </w:r>
      <w:r w:rsidRPr="00742724">
        <w:t xml:space="preserve"> introduced the abuse of dominance prohibition</w:t>
      </w:r>
      <w:r>
        <w:t xml:space="preserve"> in 1986</w:t>
      </w:r>
      <w:r w:rsidRPr="00742724">
        <w:t xml:space="preserve"> – although </w:t>
      </w:r>
      <w:r>
        <w:t xml:space="preserve">in a few cases positive supply obligations have been required.  In </w:t>
      </w:r>
      <w:r w:rsidR="00F80A98">
        <w:t>at least two</w:t>
      </w:r>
      <w:r>
        <w:t xml:space="preserve"> case</w:t>
      </w:r>
      <w:r w:rsidR="00F80A98">
        <w:t>s</w:t>
      </w:r>
      <w:r>
        <w:t xml:space="preserve">, </w:t>
      </w:r>
      <w:proofErr w:type="spellStart"/>
      <w:r w:rsidRPr="00D53EB2">
        <w:rPr>
          <w:i/>
        </w:rPr>
        <w:t>Neilsen</w:t>
      </w:r>
      <w:proofErr w:type="spellEnd"/>
      <w:r w:rsidR="00F80A98">
        <w:t xml:space="preserve"> and </w:t>
      </w:r>
      <w:r w:rsidR="00F80A98" w:rsidRPr="00F80A98">
        <w:rPr>
          <w:i/>
        </w:rPr>
        <w:t>TREB</w:t>
      </w:r>
      <w:r w:rsidR="00F80A98">
        <w:t>,</w:t>
      </w:r>
      <w:r>
        <w:t xml:space="preserve"> that </w:t>
      </w:r>
      <w:r w:rsidR="0030478D">
        <w:t xml:space="preserve">supply obligation </w:t>
      </w:r>
      <w:r>
        <w:t>was explicitly in support of encouraging entry – although the</w:t>
      </w:r>
      <w:r w:rsidR="00F80A98">
        <w:t xml:space="preserve"> exercise was unsuccessful in the </w:t>
      </w:r>
      <w:proofErr w:type="spellStart"/>
      <w:r w:rsidR="00F80A98" w:rsidRPr="00F80A98">
        <w:rPr>
          <w:i/>
        </w:rPr>
        <w:t>Neilsen</w:t>
      </w:r>
      <w:proofErr w:type="spellEnd"/>
      <w:r w:rsidR="00F80A98">
        <w:t xml:space="preserve"> case, and the jury is out on the more recent </w:t>
      </w:r>
      <w:r w:rsidR="00F80A98" w:rsidRPr="00F80A98">
        <w:rPr>
          <w:i/>
        </w:rPr>
        <w:t>TREB</w:t>
      </w:r>
      <w:r w:rsidR="00F80A98">
        <w:t xml:space="preserve"> matter.</w:t>
      </w:r>
    </w:p>
    <w:p w:rsidR="00685154" w:rsidRDefault="00BB1B40" w:rsidP="000107A2">
      <w:pPr>
        <w:pStyle w:val="ONEBodyText"/>
      </w:pPr>
      <w:r>
        <w:t>As has long been recognized</w:t>
      </w:r>
      <w:r w:rsidR="0030478D">
        <w:t>,</w:t>
      </w:r>
      <w:r w:rsidR="00685154">
        <w:t xml:space="preserve"> a key challenge with</w:t>
      </w:r>
      <w:r>
        <w:t xml:space="preserve"> structural remedies</w:t>
      </w:r>
      <w:r w:rsidR="00685154">
        <w:t>,</w:t>
      </w:r>
      <w:r>
        <w:t xml:space="preserve"> whether in the merger context or with respect to monopolization</w:t>
      </w:r>
      <w:r w:rsidR="00685154">
        <w:t>, is the danger of</w:t>
      </w:r>
      <w:r>
        <w:t xml:space="preserve"> undermin</w:t>
      </w:r>
      <w:r w:rsidR="00685154">
        <w:t>ing</w:t>
      </w:r>
      <w:r>
        <w:t xml:space="preserve"> efficiency.  As well, in the monopolization context, to a greater degree than with respect to merger</w:t>
      </w:r>
      <w:r w:rsidR="00685154">
        <w:t>s</w:t>
      </w:r>
      <w:r w:rsidR="0030478D">
        <w:t>,</w:t>
      </w:r>
      <w:r>
        <w:t xml:space="preserve"> there may be </w:t>
      </w:r>
      <w:r w:rsidR="00685154">
        <w:t>difficulties in it</w:t>
      </w:r>
      <w:r>
        <w:t xml:space="preserve"> and costly design challenges, as a unified firm has to be split, rather than simply prohibiting a </w:t>
      </w:r>
      <w:proofErr w:type="gramStart"/>
      <w:r>
        <w:t>merger which</w:t>
      </w:r>
      <w:proofErr w:type="gramEnd"/>
      <w:r>
        <w:t xml:space="preserve"> has not yet occurred.  </w:t>
      </w:r>
    </w:p>
    <w:p w:rsidR="00685154" w:rsidRDefault="00E21906" w:rsidP="000107A2">
      <w:pPr>
        <w:pStyle w:val="ONEBodyText"/>
      </w:pPr>
      <w:r>
        <w:t>As noted at the outset, the primary remedy</w:t>
      </w:r>
      <w:r w:rsidR="002247E8">
        <w:t xml:space="preserve"> for abuse of dominance</w:t>
      </w:r>
      <w:r>
        <w:t xml:space="preserve"> contemplated by the drafters of the </w:t>
      </w:r>
      <w:r>
        <w:rPr>
          <w:i/>
        </w:rPr>
        <w:t>Competition Act</w:t>
      </w:r>
      <w:r>
        <w:t xml:space="preserve"> was a cease and desist order.</w:t>
      </w:r>
      <w:r w:rsidR="00685154">
        <w:t xml:space="preserve">  That is clear both from the </w:t>
      </w:r>
      <w:r w:rsidR="002247E8">
        <w:t xml:space="preserve">provisions of the </w:t>
      </w:r>
      <w:r w:rsidR="00685154">
        <w:t>statu</w:t>
      </w:r>
      <w:r w:rsidR="00205B18">
        <w:t>t</w:t>
      </w:r>
      <w:r w:rsidR="00685154">
        <w:t xml:space="preserve">e and from the discussion surrounding the enactment of </w:t>
      </w:r>
      <w:r w:rsidR="00742724">
        <w:t>Canadian</w:t>
      </w:r>
      <w:r w:rsidR="00685154">
        <w:t xml:space="preserve"> abuse of dominance law.  </w:t>
      </w:r>
      <w:proofErr w:type="gramStart"/>
      <w:r w:rsidR="00685154">
        <w:t>And</w:t>
      </w:r>
      <w:proofErr w:type="gramEnd"/>
      <w:r w:rsidR="00685154">
        <w:t>, particularly with a statute which ha</w:t>
      </w:r>
      <w:r w:rsidR="00742724">
        <w:t>s</w:t>
      </w:r>
      <w:r w:rsidR="00685154">
        <w:t xml:space="preserve"> an explicit concern for efficiency, that may not be surprising.  The question is, however, notwithstanding these genuine challenges, have structural remedies been under-utilized to date, and is it likely we will see more use of the remedy in the future?</w:t>
      </w:r>
    </w:p>
    <w:p w:rsidR="002247E8" w:rsidRDefault="00742724" w:rsidP="000107A2">
      <w:pPr>
        <w:pStyle w:val="ONEBodyText"/>
      </w:pPr>
      <w:r>
        <w:t xml:space="preserve">It is probably worth noting that during </w:t>
      </w:r>
      <w:r w:rsidR="0030478D">
        <w:t>the</w:t>
      </w:r>
      <w:r>
        <w:t xml:space="preserve"> </w:t>
      </w:r>
      <w:proofErr w:type="gramStart"/>
      <w:r>
        <w:t>35 year</w:t>
      </w:r>
      <w:proofErr w:type="gramEnd"/>
      <w:r>
        <w:t xml:space="preserve"> period</w:t>
      </w:r>
      <w:r w:rsidR="0030478D">
        <w:t xml:space="preserve"> in which the Canadian provision has existed</w:t>
      </w:r>
      <w:r w:rsidR="00205B18">
        <w:t>,</w:t>
      </w:r>
      <w:r>
        <w:t xml:space="preserve"> the US has not ordered any firms broke</w:t>
      </w:r>
      <w:r w:rsidR="002247E8">
        <w:t>n</w:t>
      </w:r>
      <w:r>
        <w:t xml:space="preserve"> up under Section 2 of the </w:t>
      </w:r>
      <w:r w:rsidRPr="0030478D">
        <w:rPr>
          <w:i/>
        </w:rPr>
        <w:t>Sherman Act</w:t>
      </w:r>
      <w:r>
        <w:t xml:space="preserve">.  </w:t>
      </w:r>
      <w:proofErr w:type="gramStart"/>
      <w:r w:rsidR="002247E8">
        <w:t>And</w:t>
      </w:r>
      <w:proofErr w:type="gramEnd"/>
      <w:r w:rsidR="002247E8">
        <w:t xml:space="preserve"> it is fair to observe that enforcers, and Tribunals, are constrained by the type of cases which</w:t>
      </w:r>
      <w:r w:rsidR="00F80A98">
        <w:t xml:space="preserve"> present themselves</w:t>
      </w:r>
      <w:r w:rsidR="002247E8">
        <w:t xml:space="preserve">.  </w:t>
      </w:r>
      <w:r w:rsidR="0030478D">
        <w:t xml:space="preserve">With the </w:t>
      </w:r>
      <w:r w:rsidR="002247E8">
        <w:t xml:space="preserve">possible </w:t>
      </w:r>
      <w:r w:rsidR="0030478D">
        <w:t xml:space="preserve">exception of the </w:t>
      </w:r>
      <w:r w:rsidR="0030478D" w:rsidRPr="00716F78">
        <w:rPr>
          <w:i/>
        </w:rPr>
        <w:t>Interac</w:t>
      </w:r>
      <w:r w:rsidR="002247E8">
        <w:t xml:space="preserve"> and </w:t>
      </w:r>
      <w:r w:rsidR="002247E8" w:rsidRPr="00716F78">
        <w:rPr>
          <w:i/>
        </w:rPr>
        <w:t>Canada Pipe</w:t>
      </w:r>
      <w:r w:rsidR="0030478D">
        <w:t xml:space="preserve"> cases, it is not </w:t>
      </w:r>
      <w:r w:rsidR="00716F78">
        <w:t xml:space="preserve">obvious </w:t>
      </w:r>
      <w:r w:rsidR="0030478D">
        <w:t xml:space="preserve">that a structural remedy would have </w:t>
      </w:r>
      <w:r w:rsidR="002247E8">
        <w:t>been even a</w:t>
      </w:r>
      <w:r w:rsidR="0030478D">
        <w:t>rguably</w:t>
      </w:r>
      <w:r w:rsidR="00716F78">
        <w:t xml:space="preserve"> appropriate</w:t>
      </w:r>
      <w:r w:rsidR="0030478D">
        <w:t xml:space="preserve"> in </w:t>
      </w:r>
      <w:r w:rsidR="00F80A98">
        <w:t xml:space="preserve">most of </w:t>
      </w:r>
      <w:r w:rsidR="0030478D">
        <w:t xml:space="preserve">the cases </w:t>
      </w:r>
      <w:r w:rsidR="00205B18">
        <w:t xml:space="preserve">that </w:t>
      </w:r>
      <w:r w:rsidR="0030478D">
        <w:t xml:space="preserve">have come before the Tribunal to date.  </w:t>
      </w:r>
    </w:p>
    <w:p w:rsidR="00742724" w:rsidRPr="00742724" w:rsidRDefault="002247E8" w:rsidP="000107A2">
      <w:pPr>
        <w:pStyle w:val="ONEBodyText"/>
      </w:pPr>
      <w:r>
        <w:t>In our view</w:t>
      </w:r>
      <w:r w:rsidR="00205B18">
        <w:t>,</w:t>
      </w:r>
      <w:r>
        <w:t xml:space="preserve"> structural remedies, while possible under the Canadian </w:t>
      </w:r>
      <w:r>
        <w:rPr>
          <w:i/>
        </w:rPr>
        <w:t>Competition Act</w:t>
      </w:r>
      <w:r>
        <w:t>, are likely to remain rare.  Nevertheless</w:t>
      </w:r>
      <w:r w:rsidR="00716F78">
        <w:t>,</w:t>
      </w:r>
      <w:r>
        <w:t xml:space="preserve"> advisors need to be aware of the possibility when counselling firms, as the tool does exist if the </w:t>
      </w:r>
      <w:r w:rsidR="00CC41B6">
        <w:t>correct factual scenario presents itself.</w:t>
      </w:r>
      <w:r w:rsidR="00716F78">
        <w:t xml:space="preserve">  </w:t>
      </w:r>
      <w:r w:rsidR="00742724">
        <w:t xml:space="preserve">These will inevitably be rare remedies, but they are possible under the Canadian </w:t>
      </w:r>
      <w:r w:rsidR="00742724">
        <w:rPr>
          <w:i/>
        </w:rPr>
        <w:t>Competition Act</w:t>
      </w:r>
      <w:r w:rsidR="00742724">
        <w:t xml:space="preserve"> and, </w:t>
      </w:r>
      <w:r w:rsidR="0030478D">
        <w:t xml:space="preserve">perhaps </w:t>
      </w:r>
      <w:r w:rsidR="00742724">
        <w:t>one day, we may see one.  Maybe.</w:t>
      </w:r>
    </w:p>
    <w:sectPr w:rsidR="00742724" w:rsidRPr="00742724" w:rsidSect="000107A2">
      <w:footerReference w:type="default" r:id="rId8"/>
      <w:footerReference w:type="first" r:id="rId9"/>
      <w:pgSz w:w="12240" w:h="15840" w:code="1"/>
      <w:pgMar w:top="2160" w:right="2160" w:bottom="2160" w:left="2160" w:header="706" w:footer="706"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906" w:rsidRDefault="00E21906" w:rsidP="006C06EE">
      <w:pPr>
        <w:spacing w:after="0"/>
      </w:pPr>
      <w:r>
        <w:separator/>
      </w:r>
    </w:p>
  </w:endnote>
  <w:endnote w:type="continuationSeparator" w:id="0">
    <w:p w:rsidR="00E21906" w:rsidRDefault="00E21906" w:rsidP="006C06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815403"/>
      <w:docPartObj>
        <w:docPartGallery w:val="Page Numbers (Bottom of Page)"/>
        <w:docPartUnique/>
      </w:docPartObj>
    </w:sdtPr>
    <w:sdtEndPr>
      <w:rPr>
        <w:noProof/>
      </w:rPr>
    </w:sdtEndPr>
    <w:sdtContent>
      <w:p w:rsidR="00E21906" w:rsidRDefault="00E21906">
        <w:pPr>
          <w:pStyle w:val="Footer"/>
          <w:jc w:val="center"/>
        </w:pPr>
        <w:r>
          <w:fldChar w:fldCharType="begin"/>
        </w:r>
        <w:r>
          <w:instrText xml:space="preserve"> PAGE   \* MERGEFORMAT </w:instrText>
        </w:r>
        <w:r>
          <w:fldChar w:fldCharType="separate"/>
        </w:r>
        <w:r w:rsidR="00306629">
          <w:rPr>
            <w:noProof/>
          </w:rPr>
          <w:t>7</w:t>
        </w:r>
        <w:r>
          <w:rPr>
            <w:noProof/>
          </w:rPr>
          <w:fldChar w:fldCharType="end"/>
        </w:r>
      </w:p>
    </w:sdtContent>
  </w:sdt>
  <w:p w:rsidR="00E21906" w:rsidRPr="006C06EE" w:rsidRDefault="00E21906">
    <w:pPr>
      <w:pStyle w:val="Footer"/>
      <w:rPr>
        <w:rStyle w:val="DocI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906" w:rsidRPr="006C06EE" w:rsidRDefault="00306629" w:rsidP="006C06EE">
    <w:pPr>
      <w:pStyle w:val="Footer"/>
    </w:pPr>
    <w:r>
      <w:fldChar w:fldCharType="begin"/>
    </w:r>
    <w:r>
      <w:instrText xml:space="preserve"> DOCPROPERTY "DOCID" \* MERGEFORMAT </w:instrText>
    </w:r>
    <w:r>
      <w:fldChar w:fldCharType="separate"/>
    </w:r>
    <w:r w:rsidR="00F80A98" w:rsidRPr="00F80A98">
      <w:rPr>
        <w:rStyle w:val="DocID"/>
      </w:rPr>
      <w:t>LEGAL_37560046.26</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906" w:rsidRDefault="00E21906" w:rsidP="006C06EE">
      <w:pPr>
        <w:spacing w:after="0"/>
      </w:pPr>
      <w:r>
        <w:separator/>
      </w:r>
    </w:p>
  </w:footnote>
  <w:footnote w:type="continuationSeparator" w:id="0">
    <w:p w:rsidR="00E21906" w:rsidRDefault="00E21906" w:rsidP="006C06EE">
      <w:pPr>
        <w:spacing w:after="0"/>
      </w:pPr>
      <w:r>
        <w:continuationSeparator/>
      </w:r>
    </w:p>
  </w:footnote>
  <w:footnote w:id="1">
    <w:p w:rsidR="00E21906" w:rsidRPr="00E009A5" w:rsidRDefault="00E21906">
      <w:pPr>
        <w:pStyle w:val="FootnoteText"/>
        <w:rPr>
          <w:b/>
        </w:rPr>
      </w:pPr>
      <w:r>
        <w:rPr>
          <w:rStyle w:val="FootnoteReference"/>
        </w:rPr>
        <w:footnoteRef/>
      </w:r>
      <w:r>
        <w:t xml:space="preserve"> </w:t>
      </w:r>
      <w:r w:rsidR="00FD75BA">
        <w:t>RSC 1985, c C-34 [“</w:t>
      </w:r>
      <w:r w:rsidR="00FD75BA" w:rsidRPr="00FD75BA">
        <w:rPr>
          <w:i/>
        </w:rPr>
        <w:t>Competition Act</w:t>
      </w:r>
      <w:r w:rsidR="00FD75BA">
        <w:t>”].</w:t>
      </w:r>
    </w:p>
  </w:footnote>
  <w:footnote w:id="2">
    <w:p w:rsidR="00E21906" w:rsidRPr="00FD75BA" w:rsidRDefault="00E21906">
      <w:pPr>
        <w:pStyle w:val="FootnoteText"/>
        <w:rPr>
          <w:lang w:val="en-US"/>
        </w:rPr>
      </w:pPr>
      <w:r>
        <w:rPr>
          <w:rStyle w:val="FootnoteReference"/>
        </w:rPr>
        <w:footnoteRef/>
      </w:r>
      <w:r w:rsidR="00FD75BA" w:rsidRPr="00FD75BA">
        <w:rPr>
          <w:i/>
          <w:lang w:val="en-US"/>
        </w:rPr>
        <w:t>Competition Act</w:t>
      </w:r>
      <w:r w:rsidR="00FD75BA">
        <w:rPr>
          <w:lang w:val="en-US"/>
        </w:rPr>
        <w:t>, s 34.</w:t>
      </w:r>
    </w:p>
  </w:footnote>
  <w:footnote w:id="3">
    <w:p w:rsidR="00E21906" w:rsidRPr="00FD75BA" w:rsidRDefault="00E21906">
      <w:pPr>
        <w:pStyle w:val="FootnoteText"/>
        <w:rPr>
          <w:lang w:val="en-US"/>
        </w:rPr>
      </w:pPr>
      <w:r>
        <w:rPr>
          <w:rStyle w:val="FootnoteReference"/>
        </w:rPr>
        <w:footnoteRef/>
      </w:r>
      <w:r>
        <w:t xml:space="preserve"> </w:t>
      </w:r>
      <w:r w:rsidR="00FD75BA" w:rsidRPr="00FD75BA">
        <w:rPr>
          <w:i/>
          <w:lang w:val="en-US"/>
        </w:rPr>
        <w:t>Standard Oil Co of New Jersey v United States</w:t>
      </w:r>
      <w:r w:rsidR="00FD75BA">
        <w:rPr>
          <w:lang w:val="en-US"/>
        </w:rPr>
        <w:t>, 221 US 1 at para 22 (1911).</w:t>
      </w:r>
    </w:p>
  </w:footnote>
  <w:footnote w:id="4">
    <w:p w:rsidR="00644610" w:rsidRPr="007733CC" w:rsidRDefault="00644610" w:rsidP="00644610">
      <w:pPr>
        <w:pStyle w:val="FootnoteText"/>
        <w:rPr>
          <w:lang w:val="en-US"/>
        </w:rPr>
      </w:pPr>
      <w:r>
        <w:rPr>
          <w:rStyle w:val="FootnoteReference"/>
        </w:rPr>
        <w:footnoteRef/>
      </w:r>
      <w:r>
        <w:t xml:space="preserve"> </w:t>
      </w:r>
      <w:r>
        <w:rPr>
          <w:lang w:val="en-US"/>
        </w:rPr>
        <w:t>See, J.B. Musgrove (Editor), Fundamentals of Canadian Competition Law 3</w:t>
      </w:r>
      <w:r w:rsidRPr="007733CC">
        <w:rPr>
          <w:vertAlign w:val="superscript"/>
          <w:lang w:val="en-US"/>
        </w:rPr>
        <w:t>rd</w:t>
      </w:r>
      <w:r>
        <w:rPr>
          <w:lang w:val="en-US"/>
        </w:rPr>
        <w:t xml:space="preserve"> </w:t>
      </w:r>
      <w:proofErr w:type="spellStart"/>
      <w:proofErr w:type="gramStart"/>
      <w:r>
        <w:rPr>
          <w:lang w:val="en-US"/>
        </w:rPr>
        <w:t>ed</w:t>
      </w:r>
      <w:proofErr w:type="spellEnd"/>
      <w:proofErr w:type="gramEnd"/>
      <w:r>
        <w:rPr>
          <w:lang w:val="en-US"/>
        </w:rPr>
        <w:t xml:space="preserve"> 2015, Canadian Bar Association, p. 241</w:t>
      </w:r>
      <w:r w:rsidR="00710ADA">
        <w:rPr>
          <w:lang w:val="en-US"/>
        </w:rPr>
        <w:t>.</w:t>
      </w:r>
    </w:p>
  </w:footnote>
  <w:footnote w:id="5">
    <w:p w:rsidR="00E21906" w:rsidRPr="00710ADA" w:rsidRDefault="00E21906" w:rsidP="009F49B9">
      <w:pPr>
        <w:pStyle w:val="FootnoteText"/>
      </w:pPr>
      <w:r>
        <w:rPr>
          <w:rStyle w:val="FootnoteReference"/>
        </w:rPr>
        <w:footnoteRef/>
      </w:r>
      <w:r>
        <w:t xml:space="preserve"> </w:t>
      </w:r>
      <w:r w:rsidR="00710ADA" w:rsidRPr="00710ADA">
        <w:rPr>
          <w:i/>
        </w:rPr>
        <w:t>Sherman Act</w:t>
      </w:r>
      <w:r w:rsidR="00710ADA">
        <w:t xml:space="preserve">, </w:t>
      </w:r>
      <w:proofErr w:type="spellStart"/>
      <w:r w:rsidR="009F49B9">
        <w:t>ch</w:t>
      </w:r>
      <w:proofErr w:type="spellEnd"/>
      <w:r w:rsidR="009F49B9">
        <w:t xml:space="preserve"> 647, </w:t>
      </w:r>
      <w:r w:rsidR="009F49B9" w:rsidRPr="00710ADA">
        <w:t>§</w:t>
      </w:r>
      <w:r w:rsidR="009F49B9">
        <w:t xml:space="preserve"> 2, </w:t>
      </w:r>
      <w:r w:rsidR="00710ADA">
        <w:t>26 Stat</w:t>
      </w:r>
      <w:r w:rsidR="00710ADA" w:rsidRPr="00710ADA">
        <w:t xml:space="preserve"> 209 (1890) (codified </w:t>
      </w:r>
      <w:r w:rsidR="009F49B9">
        <w:t>at</w:t>
      </w:r>
      <w:r w:rsidR="00710ADA">
        <w:t xml:space="preserve"> 15 USC </w:t>
      </w:r>
      <w:r w:rsidR="00710ADA" w:rsidRPr="00710ADA">
        <w:t>§</w:t>
      </w:r>
      <w:r w:rsidR="009F49B9">
        <w:t xml:space="preserve"> </w:t>
      </w:r>
      <w:proofErr w:type="gramStart"/>
      <w:r w:rsidR="009F49B9">
        <w:t>2</w:t>
      </w:r>
      <w:proofErr w:type="gramEnd"/>
      <w:r w:rsidR="00710ADA" w:rsidRPr="00710ADA">
        <w:t xml:space="preserve"> (19</w:t>
      </w:r>
      <w:r w:rsidR="009F49B9">
        <w:t>94</w:t>
      </w:r>
      <w:r w:rsidR="00710ADA" w:rsidRPr="00710ADA">
        <w:t>)</w:t>
      </w:r>
      <w:r w:rsidR="00710ADA">
        <w:t>).</w:t>
      </w:r>
    </w:p>
  </w:footnote>
  <w:footnote w:id="6">
    <w:p w:rsidR="009F49B9" w:rsidRDefault="00E21906" w:rsidP="009F49B9">
      <w:pPr>
        <w:pStyle w:val="FootnoteText"/>
      </w:pPr>
      <w:r>
        <w:rPr>
          <w:rStyle w:val="FootnoteReference"/>
        </w:rPr>
        <w:footnoteRef/>
      </w:r>
      <w:r>
        <w:t xml:space="preserve"> </w:t>
      </w:r>
      <w:r w:rsidR="009F49B9">
        <w:t xml:space="preserve">EC, </w:t>
      </w:r>
      <w:r w:rsidR="009F49B9" w:rsidRPr="00112321">
        <w:rPr>
          <w:i/>
        </w:rPr>
        <w:t>Consolidated Version of the Treaty on the Functioning of the European Union</w:t>
      </w:r>
      <w:r w:rsidR="009F49B9">
        <w:t>,</w:t>
      </w:r>
    </w:p>
    <w:p w:rsidR="00E21906" w:rsidRPr="00515F51" w:rsidRDefault="00112321" w:rsidP="009F49B9">
      <w:pPr>
        <w:pStyle w:val="FootnoteText"/>
        <w:rPr>
          <w:lang w:val="en-US"/>
        </w:rPr>
      </w:pPr>
      <w:r w:rsidRPr="00515F51">
        <w:rPr>
          <w:lang w:val="en-US"/>
        </w:rPr>
        <w:t>[2012] OJ, C 326/47, art 102</w:t>
      </w:r>
      <w:r w:rsidR="009F49B9" w:rsidRPr="00515F51">
        <w:rPr>
          <w:lang w:val="en-US"/>
        </w:rPr>
        <w:t>.</w:t>
      </w:r>
    </w:p>
  </w:footnote>
  <w:footnote w:id="7">
    <w:p w:rsidR="00E21906" w:rsidRPr="009F49B9" w:rsidRDefault="00E21906">
      <w:pPr>
        <w:pStyle w:val="FootnoteText"/>
      </w:pPr>
      <w:r>
        <w:rPr>
          <w:rStyle w:val="FootnoteReference"/>
        </w:rPr>
        <w:footnoteRef/>
      </w:r>
      <w:r>
        <w:t xml:space="preserve"> </w:t>
      </w:r>
      <w:r w:rsidR="009F49B9" w:rsidRPr="009F49B9">
        <w:rPr>
          <w:i/>
        </w:rPr>
        <w:t>Competition Act</w:t>
      </w:r>
      <w:r w:rsidR="009F49B9">
        <w:t>, s 78(1).</w:t>
      </w:r>
    </w:p>
  </w:footnote>
  <w:footnote w:id="8">
    <w:p w:rsidR="00E21906" w:rsidRPr="009F49B9" w:rsidRDefault="00E21906">
      <w:pPr>
        <w:pStyle w:val="FootnoteText"/>
      </w:pPr>
      <w:r>
        <w:rPr>
          <w:rStyle w:val="FootnoteReference"/>
        </w:rPr>
        <w:footnoteRef/>
      </w:r>
      <w:r>
        <w:t xml:space="preserve"> </w:t>
      </w:r>
      <w:r w:rsidR="009F49B9" w:rsidRPr="009F49B9">
        <w:rPr>
          <w:i/>
        </w:rPr>
        <w:t>Competition Act</w:t>
      </w:r>
      <w:r w:rsidR="009F49B9">
        <w:t>, s 79(1).</w:t>
      </w:r>
    </w:p>
  </w:footnote>
  <w:footnote w:id="9">
    <w:p w:rsidR="00E21906" w:rsidRPr="00112321" w:rsidRDefault="00E21906">
      <w:pPr>
        <w:pStyle w:val="FootnoteText"/>
      </w:pPr>
      <w:r>
        <w:rPr>
          <w:rStyle w:val="FootnoteReference"/>
        </w:rPr>
        <w:footnoteRef/>
      </w:r>
      <w:r w:rsidR="00112321" w:rsidRPr="00112321">
        <w:t xml:space="preserve">See </w:t>
      </w:r>
      <w:r w:rsidR="00112321">
        <w:t xml:space="preserve">Matthew Boswell, Commissioner of Competition, “Canada needs more competition” (delivered at the Canadian Bar Association Competition Law Fall Conference, October 20, 2021), online: </w:t>
      </w:r>
      <w:hyperlink r:id="rId1" w:history="1">
        <w:r w:rsidR="00112321" w:rsidRPr="007F0F34">
          <w:rPr>
            <w:rStyle w:val="Hyperlink"/>
          </w:rPr>
          <w:t>https://www.canada.ca/en/competition-bureau/news/2021/10/canada-needs-more-competition.html</w:t>
        </w:r>
      </w:hyperlink>
      <w:r w:rsidR="00112321">
        <w:t>; see also, Competition Bureau</w:t>
      </w:r>
      <w:r w:rsidR="00C16AB7">
        <w:t xml:space="preserve"> Canada</w:t>
      </w:r>
      <w:r w:rsidR="00112321">
        <w:t xml:space="preserve">, </w:t>
      </w:r>
      <w:r w:rsidR="00112321">
        <w:rPr>
          <w:i/>
        </w:rPr>
        <w:t>Examining the Canadian Competition Act in the Digital Era</w:t>
      </w:r>
      <w:r w:rsidR="00207A13">
        <w:t xml:space="preserve"> (February 8, 2022),</w:t>
      </w:r>
      <w:r w:rsidR="00112321">
        <w:t xml:space="preserve"> </w:t>
      </w:r>
      <w:r w:rsidR="00207A13">
        <w:t xml:space="preserve">online: </w:t>
      </w:r>
      <w:r w:rsidR="00207A13" w:rsidRPr="00207A13">
        <w:t>https://www.competitionbureau.gc.ca/eic/site/cb-bc.nsf/eng/04621.html</w:t>
      </w:r>
      <w:r w:rsidR="00207A13">
        <w:t>.</w:t>
      </w:r>
    </w:p>
  </w:footnote>
  <w:footnote w:id="10">
    <w:p w:rsidR="00E21906" w:rsidRPr="001A1E31" w:rsidRDefault="00E21906">
      <w:pPr>
        <w:pStyle w:val="FootnoteText"/>
        <w:rPr>
          <w:lang w:val="en-US"/>
        </w:rPr>
      </w:pPr>
      <w:r>
        <w:rPr>
          <w:rStyle w:val="FootnoteReference"/>
        </w:rPr>
        <w:footnoteRef/>
      </w:r>
      <w:r>
        <w:t xml:space="preserve"> </w:t>
      </w:r>
      <w:r>
        <w:rPr>
          <w:lang w:val="en-US"/>
        </w:rPr>
        <w:t xml:space="preserve">Consumer and Corporate Affairs Canada, </w:t>
      </w:r>
      <w:r w:rsidRPr="00207A13">
        <w:rPr>
          <w:i/>
          <w:lang w:val="en-US"/>
        </w:rPr>
        <w:t>Remarks to the Press Regarding Competition Law Amendments</w:t>
      </w:r>
      <w:r>
        <w:rPr>
          <w:lang w:val="en-US"/>
        </w:rPr>
        <w:t xml:space="preserve">, The </w:t>
      </w:r>
      <w:proofErr w:type="spellStart"/>
      <w:r>
        <w:rPr>
          <w:lang w:val="en-US"/>
        </w:rPr>
        <w:t>Honourable</w:t>
      </w:r>
      <w:proofErr w:type="spellEnd"/>
      <w:r>
        <w:rPr>
          <w:lang w:val="en-US"/>
        </w:rPr>
        <w:t xml:space="preserve"> Michel </w:t>
      </w:r>
      <w:proofErr w:type="spellStart"/>
      <w:r>
        <w:rPr>
          <w:lang w:val="en-US"/>
        </w:rPr>
        <w:t>C</w:t>
      </w:r>
      <w:r>
        <w:rPr>
          <w:rFonts w:cs="Times New Roman"/>
          <w:lang w:val="en-US"/>
        </w:rPr>
        <w:t>ô</w:t>
      </w:r>
      <w:r>
        <w:rPr>
          <w:lang w:val="en-US"/>
        </w:rPr>
        <w:t>t</w:t>
      </w:r>
      <w:r>
        <w:rPr>
          <w:rFonts w:cs="Times New Roman"/>
          <w:lang w:val="en-US"/>
        </w:rPr>
        <w:t>é</w:t>
      </w:r>
      <w:proofErr w:type="spellEnd"/>
      <w:r>
        <w:rPr>
          <w:lang w:val="en-US"/>
        </w:rPr>
        <w:t>, Minister of Consumer and Corporate Affairs Canada (December 17, 1985)</w:t>
      </w:r>
      <w:r w:rsidR="00207A13">
        <w:rPr>
          <w:lang w:val="en-US"/>
        </w:rPr>
        <w:t>.</w:t>
      </w:r>
    </w:p>
  </w:footnote>
  <w:footnote w:id="11">
    <w:p w:rsidR="00004239" w:rsidRPr="006E5F49" w:rsidRDefault="00004239" w:rsidP="00004239">
      <w:pPr>
        <w:pStyle w:val="FootnoteText"/>
        <w:rPr>
          <w:lang w:val="en-US"/>
        </w:rPr>
      </w:pPr>
      <w:r>
        <w:rPr>
          <w:rStyle w:val="FootnoteReference"/>
        </w:rPr>
        <w:footnoteRef/>
      </w:r>
      <w:r>
        <w:t xml:space="preserve"> </w:t>
      </w:r>
      <w:r w:rsidRPr="00D53EB2">
        <w:rPr>
          <w:i/>
          <w:lang w:val="en-US"/>
        </w:rPr>
        <w:t>Dynamic Change and Accountability in a Canadian Market Economy:  Proposals for amendment to Canada’s Investment Act</w:t>
      </w:r>
      <w:r>
        <w:rPr>
          <w:lang w:val="en-US"/>
        </w:rPr>
        <w:t xml:space="preserve"> (Ottawa:  Bureau of Corporate Parties, 1981), pp 148-150.</w:t>
      </w:r>
    </w:p>
  </w:footnote>
  <w:footnote w:id="12">
    <w:p w:rsidR="00E21906" w:rsidRPr="00207A13" w:rsidRDefault="00E21906">
      <w:pPr>
        <w:pStyle w:val="FootnoteText"/>
      </w:pPr>
      <w:r>
        <w:rPr>
          <w:rStyle w:val="FootnoteReference"/>
        </w:rPr>
        <w:footnoteRef/>
      </w:r>
      <w:r>
        <w:t xml:space="preserve"> </w:t>
      </w:r>
      <w:r w:rsidR="00207A13" w:rsidRPr="00207A13">
        <w:rPr>
          <w:i/>
        </w:rPr>
        <w:t>Competition Act</w:t>
      </w:r>
      <w:r w:rsidR="00207A13">
        <w:t>, s 92.</w:t>
      </w:r>
    </w:p>
  </w:footnote>
  <w:footnote w:id="13">
    <w:p w:rsidR="00E21906" w:rsidRPr="00C16AB7" w:rsidRDefault="00E21906">
      <w:pPr>
        <w:pStyle w:val="FootnoteText"/>
      </w:pPr>
      <w:r>
        <w:rPr>
          <w:rStyle w:val="FootnoteReference"/>
        </w:rPr>
        <w:footnoteRef/>
      </w:r>
      <w:r w:rsidR="00C16AB7">
        <w:t xml:space="preserve">Competition Bureau Canada, </w:t>
      </w:r>
      <w:r w:rsidR="00C16AB7">
        <w:rPr>
          <w:i/>
        </w:rPr>
        <w:t>Information Bulletin on Merger Remedies in Canada</w:t>
      </w:r>
      <w:r w:rsidR="00C16AB7">
        <w:t xml:space="preserve"> (September 22, 2006), online: </w:t>
      </w:r>
      <w:r w:rsidR="00C16AB7" w:rsidRPr="00C16AB7">
        <w:t>https://bureaudelaconcurrence.gc.ca/eic/site/cb-bc.nsf/%20eng/03392.html</w:t>
      </w:r>
      <w:r w:rsidR="00C16AB7">
        <w:t>.</w:t>
      </w:r>
    </w:p>
  </w:footnote>
  <w:footnote w:id="14">
    <w:p w:rsidR="00E21906" w:rsidRPr="00616350" w:rsidRDefault="00E21906">
      <w:pPr>
        <w:pStyle w:val="FootnoteText"/>
        <w:rPr>
          <w:lang w:val="en-US"/>
        </w:rPr>
      </w:pPr>
      <w:r>
        <w:rPr>
          <w:rStyle w:val="FootnoteReference"/>
        </w:rPr>
        <w:footnoteRef/>
      </w:r>
      <w:r>
        <w:t xml:space="preserve"> </w:t>
      </w:r>
      <w:r w:rsidR="00616350">
        <w:rPr>
          <w:i/>
          <w:lang w:val="en-US"/>
        </w:rPr>
        <w:t>Ibid</w:t>
      </w:r>
      <w:r w:rsidR="00616350">
        <w:rPr>
          <w:lang w:val="en-US"/>
        </w:rPr>
        <w:t xml:space="preserve"> at paras 10 and 49.</w:t>
      </w:r>
    </w:p>
  </w:footnote>
  <w:footnote w:id="15">
    <w:p w:rsidR="00E21906" w:rsidRPr="00616350" w:rsidRDefault="00E21906">
      <w:pPr>
        <w:pStyle w:val="FootnoteText"/>
      </w:pPr>
      <w:r>
        <w:rPr>
          <w:rStyle w:val="FootnoteReference"/>
        </w:rPr>
        <w:footnoteRef/>
      </w:r>
      <w:r>
        <w:t xml:space="preserve"> </w:t>
      </w:r>
      <w:r w:rsidR="00616350">
        <w:rPr>
          <w:lang w:val="en-US"/>
        </w:rPr>
        <w:t xml:space="preserve">US Department of Justice Antitrust Division, </w:t>
      </w:r>
      <w:r w:rsidR="00616350" w:rsidRPr="00616350">
        <w:rPr>
          <w:i/>
          <w:lang w:val="en-US"/>
        </w:rPr>
        <w:t>Merger Remedies Manual</w:t>
      </w:r>
      <w:r w:rsidR="00616350">
        <w:rPr>
          <w:lang w:val="en-US"/>
        </w:rPr>
        <w:t xml:space="preserve"> (September 2020), online: </w:t>
      </w:r>
      <w:r w:rsidR="00616350" w:rsidRPr="00616350">
        <w:rPr>
          <w:lang w:val="en-US"/>
        </w:rPr>
        <w:t>https://www.justice.gov/atr/page/file/1312416/download</w:t>
      </w:r>
      <w:r w:rsidR="00616350">
        <w:rPr>
          <w:lang w:val="en-US"/>
        </w:rPr>
        <w:t>.</w:t>
      </w:r>
    </w:p>
  </w:footnote>
  <w:footnote w:id="16">
    <w:p w:rsidR="00E21906" w:rsidRPr="00502851" w:rsidRDefault="00E21906">
      <w:pPr>
        <w:pStyle w:val="FootnoteText"/>
      </w:pPr>
      <w:r>
        <w:rPr>
          <w:rStyle w:val="FootnoteReference"/>
        </w:rPr>
        <w:footnoteRef/>
      </w:r>
      <w:r>
        <w:t xml:space="preserve"> </w:t>
      </w:r>
      <w:r w:rsidR="00616350" w:rsidRPr="00616350">
        <w:rPr>
          <w:i/>
          <w:lang w:val="en-US"/>
        </w:rPr>
        <w:t>Ibid</w:t>
      </w:r>
      <w:r w:rsidR="00616350">
        <w:rPr>
          <w:lang w:val="en-US"/>
        </w:rPr>
        <w:t xml:space="preserve"> at 13</w:t>
      </w:r>
      <w:r w:rsidR="00616350">
        <w:rPr>
          <w:b/>
          <w:lang w:val="en-US"/>
        </w:rPr>
        <w:t>.</w:t>
      </w:r>
      <w:r>
        <w:rPr>
          <w:b/>
        </w:rPr>
        <w:t xml:space="preserve"> </w:t>
      </w:r>
      <w:r w:rsidRPr="00502851">
        <w:t xml:space="preserve">See also </w:t>
      </w:r>
      <w:r w:rsidRPr="00502851">
        <w:rPr>
          <w:i/>
        </w:rPr>
        <w:t>United States v E.I. du Pont de Nemours &amp; Co</w:t>
      </w:r>
      <w:r w:rsidRPr="00502851">
        <w:t>.</w:t>
      </w:r>
      <w:r w:rsidR="00616350">
        <w:t>,</w:t>
      </w:r>
      <w:r w:rsidRPr="00502851">
        <w:t xml:space="preserve"> 366 US 316 at 331</w:t>
      </w:r>
      <w:proofErr w:type="gramStart"/>
      <w:r w:rsidRPr="00502851">
        <w:t>;</w:t>
      </w:r>
      <w:proofErr w:type="gramEnd"/>
      <w:r w:rsidRPr="00502851">
        <w:t xml:space="preserve"> </w:t>
      </w:r>
      <w:r w:rsidRPr="00616350">
        <w:rPr>
          <w:i/>
        </w:rPr>
        <w:t>California v Am. Stores Co.</w:t>
      </w:r>
      <w:r w:rsidR="00616350">
        <w:t>,</w:t>
      </w:r>
      <w:r w:rsidRPr="00502851">
        <w:t xml:space="preserve"> 495 US 271 at 280-281.</w:t>
      </w:r>
    </w:p>
  </w:footnote>
  <w:footnote w:id="17">
    <w:p w:rsidR="00E21906" w:rsidRPr="00760817" w:rsidRDefault="00E21906">
      <w:pPr>
        <w:pStyle w:val="FootnoteText"/>
      </w:pPr>
      <w:r>
        <w:rPr>
          <w:rStyle w:val="FootnoteReference"/>
        </w:rPr>
        <w:footnoteRef/>
      </w:r>
      <w:r>
        <w:t xml:space="preserve"> </w:t>
      </w:r>
      <w:r w:rsidR="00616350">
        <w:t xml:space="preserve">ICN Merger Working Group, “Merger Remedies Guide” (2016), online: </w:t>
      </w:r>
      <w:r w:rsidR="00616350" w:rsidRPr="00616350">
        <w:t>https://www.internationalcompetitionnetwork.org/wp-content/uploads/2018/05/MWG_RemediesGuide.pdf</w:t>
      </w:r>
      <w:r w:rsidR="00616350">
        <w:t>.</w:t>
      </w:r>
    </w:p>
  </w:footnote>
  <w:footnote w:id="18">
    <w:p w:rsidR="00E21906" w:rsidRPr="00760817" w:rsidRDefault="00E21906">
      <w:pPr>
        <w:pStyle w:val="FootnoteText"/>
      </w:pPr>
      <w:r>
        <w:rPr>
          <w:rStyle w:val="FootnoteReference"/>
        </w:rPr>
        <w:footnoteRef/>
      </w:r>
      <w:r>
        <w:t xml:space="preserve"> </w:t>
      </w:r>
      <w:r w:rsidR="00616350">
        <w:rPr>
          <w:i/>
        </w:rPr>
        <w:t>Ibid</w:t>
      </w:r>
      <w:r w:rsidR="00616350">
        <w:t xml:space="preserve"> at </w:t>
      </w:r>
      <w:r w:rsidR="00760817">
        <w:t>para 3.2.1.</w:t>
      </w:r>
    </w:p>
  </w:footnote>
  <w:footnote w:id="19">
    <w:p w:rsidR="00E21906" w:rsidRPr="00760817" w:rsidRDefault="00E21906">
      <w:pPr>
        <w:pStyle w:val="FootnoteText"/>
      </w:pPr>
      <w:r>
        <w:rPr>
          <w:rStyle w:val="FootnoteReference"/>
        </w:rPr>
        <w:footnoteRef/>
      </w:r>
      <w:r>
        <w:t xml:space="preserve"> </w:t>
      </w:r>
      <w:r w:rsidR="00760817">
        <w:t xml:space="preserve">Competition Bureau Canada, </w:t>
      </w:r>
      <w:r w:rsidR="00760817">
        <w:rPr>
          <w:i/>
        </w:rPr>
        <w:t>Abuse of Dominance Enforcement Guidelines</w:t>
      </w:r>
      <w:r w:rsidR="00760817">
        <w:t xml:space="preserve"> (Ottawa: Innovation, Science and Economic Development Canada, 2019) at para 101.</w:t>
      </w:r>
    </w:p>
  </w:footnote>
  <w:footnote w:id="20">
    <w:p w:rsidR="00E21906" w:rsidRPr="00515F51" w:rsidRDefault="00E21906">
      <w:pPr>
        <w:pStyle w:val="FootnoteText"/>
      </w:pPr>
      <w:r>
        <w:rPr>
          <w:rStyle w:val="FootnoteReference"/>
        </w:rPr>
        <w:footnoteRef/>
      </w:r>
      <w:r>
        <w:t xml:space="preserve"> </w:t>
      </w:r>
      <w:r w:rsidR="00760817">
        <w:t xml:space="preserve">US Department of Justice, </w:t>
      </w:r>
      <w:r w:rsidR="00760817" w:rsidRPr="00515F51">
        <w:rPr>
          <w:i/>
        </w:rPr>
        <w:t xml:space="preserve">Competition and Monopoly: Single-Firm Conduct </w:t>
      </w:r>
      <w:proofErr w:type="gramStart"/>
      <w:r w:rsidR="00760817" w:rsidRPr="00515F51">
        <w:rPr>
          <w:i/>
        </w:rPr>
        <w:t>Under</w:t>
      </w:r>
      <w:proofErr w:type="gramEnd"/>
      <w:r w:rsidR="00760817" w:rsidRPr="00515F51">
        <w:rPr>
          <w:i/>
        </w:rPr>
        <w:t xml:space="preserve"> Section 2 of the Sherman Act</w:t>
      </w:r>
      <w:r w:rsidR="00760817">
        <w:t xml:space="preserve"> (September 2008)</w:t>
      </w:r>
      <w:r w:rsidR="000D3D5A">
        <w:t xml:space="preserve">, online: </w:t>
      </w:r>
      <w:hyperlink r:id="rId2" w:history="1">
        <w:r w:rsidR="000D3D5A" w:rsidRPr="007F0F34">
          <w:rPr>
            <w:rStyle w:val="Hyperlink"/>
          </w:rPr>
          <w:t>https://www.justice.gov/sites/default/files/atr/legacy/2009/05/11/236681.pdf</w:t>
        </w:r>
      </w:hyperlink>
      <w:r w:rsidR="000D3D5A">
        <w:t xml:space="preserve"> (withdrawn May 2009).</w:t>
      </w:r>
    </w:p>
  </w:footnote>
  <w:footnote w:id="21">
    <w:p w:rsidR="00E21906" w:rsidRPr="00515F51" w:rsidRDefault="00E21906">
      <w:pPr>
        <w:pStyle w:val="FootnoteText"/>
      </w:pPr>
      <w:r>
        <w:rPr>
          <w:rStyle w:val="FootnoteReference"/>
        </w:rPr>
        <w:footnoteRef/>
      </w:r>
      <w:r w:rsidRPr="00515F51">
        <w:t xml:space="preserve"> </w:t>
      </w:r>
      <w:r w:rsidR="00616350" w:rsidRPr="00515F51">
        <w:rPr>
          <w:i/>
        </w:rPr>
        <w:t>Ibid</w:t>
      </w:r>
      <w:r w:rsidRPr="00515F51">
        <w:t xml:space="preserve">, </w:t>
      </w:r>
      <w:r w:rsidR="00616350" w:rsidRPr="00515F51">
        <w:t>at</w:t>
      </w:r>
      <w:r w:rsidRPr="00515F51">
        <w:t xml:space="preserve"> 143.</w:t>
      </w:r>
    </w:p>
  </w:footnote>
  <w:footnote w:id="22">
    <w:p w:rsidR="00E21906" w:rsidRPr="00515F51" w:rsidRDefault="00E21906">
      <w:pPr>
        <w:pStyle w:val="FootnoteText"/>
        <w:rPr>
          <w:i/>
        </w:rPr>
      </w:pPr>
      <w:r>
        <w:rPr>
          <w:rStyle w:val="FootnoteReference"/>
        </w:rPr>
        <w:footnoteRef/>
      </w:r>
      <w:r w:rsidRPr="00515F51">
        <w:t xml:space="preserve"> </w:t>
      </w:r>
      <w:r w:rsidR="00616350" w:rsidRPr="00515F51">
        <w:rPr>
          <w:i/>
        </w:rPr>
        <w:t>Ibid</w:t>
      </w:r>
      <w:r w:rsidRPr="00515F51">
        <w:t xml:space="preserve">, </w:t>
      </w:r>
      <w:r w:rsidR="00616350" w:rsidRPr="00515F51">
        <w:t>at</w:t>
      </w:r>
      <w:r w:rsidRPr="00515F51">
        <w:t xml:space="preserve"> 149.</w:t>
      </w:r>
    </w:p>
  </w:footnote>
  <w:footnote w:id="23">
    <w:p w:rsidR="00E21906" w:rsidRPr="000D3D5A" w:rsidRDefault="00E21906">
      <w:pPr>
        <w:pStyle w:val="FootnoteText"/>
      </w:pPr>
      <w:r>
        <w:rPr>
          <w:rStyle w:val="FootnoteReference"/>
        </w:rPr>
        <w:footnoteRef/>
      </w:r>
      <w:r w:rsidRPr="000D3D5A">
        <w:t xml:space="preserve"> </w:t>
      </w:r>
      <w:r w:rsidR="000D3D5A" w:rsidRPr="000D3D5A">
        <w:rPr>
          <w:i/>
        </w:rPr>
        <w:t>Ibid</w:t>
      </w:r>
      <w:r w:rsidRPr="000D3D5A">
        <w:t xml:space="preserve">, </w:t>
      </w:r>
      <w:r w:rsidR="000D3D5A" w:rsidRPr="000D3D5A">
        <w:t>at</w:t>
      </w:r>
      <w:r w:rsidRPr="000D3D5A">
        <w:t xml:space="preserve"> 158.</w:t>
      </w:r>
    </w:p>
  </w:footnote>
  <w:footnote w:id="24">
    <w:p w:rsidR="007733CC" w:rsidRPr="00CC0847" w:rsidRDefault="007733CC" w:rsidP="007733CC">
      <w:pPr>
        <w:pStyle w:val="FootnoteText"/>
        <w:rPr>
          <w:lang w:val="en-US"/>
        </w:rPr>
      </w:pPr>
      <w:r>
        <w:rPr>
          <w:rStyle w:val="FootnoteReference"/>
        </w:rPr>
        <w:footnoteRef/>
      </w:r>
      <w:r>
        <w:t xml:space="preserve"> </w:t>
      </w:r>
      <w:r w:rsidRPr="005A5B6E">
        <w:rPr>
          <w:i/>
        </w:rPr>
        <w:t>Canada (Director of Investigation &amp; Research) v NutraSweet Co.</w:t>
      </w:r>
      <w:r>
        <w:t xml:space="preserve"> (1990), 32 C.P.R. (3d) </w:t>
      </w:r>
      <w:proofErr w:type="gramStart"/>
      <w:r>
        <w:t>1</w:t>
      </w:r>
      <w:proofErr w:type="gramEnd"/>
      <w:r>
        <w:t xml:space="preserve"> (Competition Trib.).</w:t>
      </w:r>
    </w:p>
  </w:footnote>
  <w:footnote w:id="25">
    <w:p w:rsidR="007733CC" w:rsidRPr="005A5B6E" w:rsidRDefault="007733CC" w:rsidP="007733CC">
      <w:pPr>
        <w:pStyle w:val="FootnoteText"/>
        <w:rPr>
          <w:lang w:val="en-US"/>
        </w:rPr>
      </w:pPr>
      <w:r>
        <w:rPr>
          <w:rStyle w:val="FootnoteReference"/>
        </w:rPr>
        <w:footnoteRef/>
      </w:r>
      <w:r>
        <w:t xml:space="preserve"> </w:t>
      </w:r>
      <w:r w:rsidRPr="005A5B6E">
        <w:rPr>
          <w:i/>
          <w:lang w:val="en-US"/>
        </w:rPr>
        <w:t>Canada (Director of Investigation &amp; Research) v Laidlaw Waste Systems Ltd.</w:t>
      </w:r>
      <w:r>
        <w:rPr>
          <w:lang w:val="en-US"/>
        </w:rPr>
        <w:t xml:space="preserve"> (1992), 40 C.P.R. (3d) 289 (Competition Trib.).</w:t>
      </w:r>
    </w:p>
  </w:footnote>
  <w:footnote w:id="26">
    <w:p w:rsidR="00570544" w:rsidRPr="00F44F9D" w:rsidRDefault="00570544" w:rsidP="00570544">
      <w:pPr>
        <w:pStyle w:val="FootnoteText"/>
      </w:pPr>
      <w:r>
        <w:rPr>
          <w:rStyle w:val="FootnoteReference"/>
        </w:rPr>
        <w:footnoteRef/>
      </w:r>
      <w:r>
        <w:t xml:space="preserve"> </w:t>
      </w:r>
      <w:r w:rsidRPr="00F44F9D">
        <w:rPr>
          <w:i/>
        </w:rPr>
        <w:t>Canada (Director of Investigation &amp; Research) v AGT Directory Ltd</w:t>
      </w:r>
      <w:r>
        <w:t xml:space="preserve">., 1994 </w:t>
      </w:r>
      <w:proofErr w:type="spellStart"/>
      <w:r>
        <w:t>CarswellNat</w:t>
      </w:r>
      <w:proofErr w:type="spellEnd"/>
      <w:r>
        <w:t xml:space="preserve"> 3198, [1994] C.C.T.D. No. 24 (Competition Trib.).</w:t>
      </w:r>
    </w:p>
  </w:footnote>
  <w:footnote w:id="27">
    <w:p w:rsidR="00570544" w:rsidRPr="00403384" w:rsidRDefault="00570544" w:rsidP="00570544">
      <w:pPr>
        <w:pStyle w:val="FootnoteText"/>
      </w:pPr>
      <w:r>
        <w:rPr>
          <w:rStyle w:val="FootnoteReference"/>
        </w:rPr>
        <w:footnoteRef/>
      </w:r>
      <w:r>
        <w:t xml:space="preserve"> </w:t>
      </w:r>
      <w:r w:rsidRPr="00403384">
        <w:rPr>
          <w:i/>
        </w:rPr>
        <w:t>Canada (Director of Investigation &amp; Research) v D &amp; B Co. of Canada Ltd</w:t>
      </w:r>
      <w:r>
        <w:t>. (1995), 64 C.P.R. (3d) 216.</w:t>
      </w:r>
    </w:p>
  </w:footnote>
  <w:footnote w:id="28">
    <w:p w:rsidR="00570544" w:rsidRPr="00F44F9D" w:rsidRDefault="00570544" w:rsidP="00570544">
      <w:pPr>
        <w:pStyle w:val="FootnoteText"/>
      </w:pPr>
      <w:r>
        <w:rPr>
          <w:rStyle w:val="FootnoteReference"/>
        </w:rPr>
        <w:footnoteRef/>
      </w:r>
      <w:r>
        <w:t xml:space="preserve"> </w:t>
      </w:r>
      <w:r w:rsidRPr="00F44F9D">
        <w:rPr>
          <w:i/>
        </w:rPr>
        <w:t>Canada (Director of Investigation &amp; Research) v Bank of Montreal</w:t>
      </w:r>
      <w:r>
        <w:t xml:space="preserve"> (1996), 68 C.P.R. (3d) 527 (Competition Trib.)</w:t>
      </w:r>
    </w:p>
  </w:footnote>
  <w:footnote w:id="29">
    <w:p w:rsidR="00570544" w:rsidRPr="005A5B6E" w:rsidRDefault="00570544" w:rsidP="00570544">
      <w:pPr>
        <w:pStyle w:val="FootnoteText"/>
        <w:rPr>
          <w:lang w:val="en-US"/>
        </w:rPr>
      </w:pPr>
      <w:r>
        <w:rPr>
          <w:rStyle w:val="FootnoteReference"/>
        </w:rPr>
        <w:footnoteRef/>
      </w:r>
      <w:r>
        <w:t xml:space="preserve"> </w:t>
      </w:r>
      <w:r w:rsidRPr="005A5B6E">
        <w:rPr>
          <w:i/>
          <w:lang w:val="en-US"/>
        </w:rPr>
        <w:t>Canada (Director of Investigation &amp; Research) v Tele-Direct (Publications) Inc.,</w:t>
      </w:r>
      <w:r>
        <w:rPr>
          <w:lang w:val="en-US"/>
        </w:rPr>
        <w:t xml:space="preserve"> (1997), 73 C.P.R. (3d) </w:t>
      </w:r>
      <w:proofErr w:type="gramStart"/>
      <w:r>
        <w:rPr>
          <w:lang w:val="en-US"/>
        </w:rPr>
        <w:t>1</w:t>
      </w:r>
      <w:proofErr w:type="gramEnd"/>
      <w:r>
        <w:rPr>
          <w:lang w:val="en-US"/>
        </w:rPr>
        <w:t xml:space="preserve"> (Competition Trib.).</w:t>
      </w:r>
    </w:p>
  </w:footnote>
  <w:footnote w:id="30">
    <w:p w:rsidR="00D95D73" w:rsidRPr="004163DD" w:rsidRDefault="00D95D73" w:rsidP="00D95D73">
      <w:pPr>
        <w:pStyle w:val="FootnoteText"/>
        <w:rPr>
          <w:u w:val="single"/>
          <w:lang w:val="en-US"/>
        </w:rPr>
      </w:pPr>
      <w:r>
        <w:rPr>
          <w:rStyle w:val="FootnoteReference"/>
        </w:rPr>
        <w:footnoteRef/>
      </w:r>
      <w:r>
        <w:t xml:space="preserve"> </w:t>
      </w:r>
      <w:r w:rsidRPr="00067E12">
        <w:rPr>
          <w:i/>
          <w:lang w:val="en-US"/>
        </w:rPr>
        <w:t>Commissioner of Competition v H.J. Heinz Company of Canada Ltd.</w:t>
      </w:r>
      <w:r>
        <w:rPr>
          <w:lang w:val="en-US"/>
        </w:rPr>
        <w:t xml:space="preserve"> (August 2000).  Undertaking; as described in </w:t>
      </w:r>
      <w:proofErr w:type="spellStart"/>
      <w:r>
        <w:rPr>
          <w:lang w:val="en-US"/>
        </w:rPr>
        <w:t>Organisation</w:t>
      </w:r>
      <w:proofErr w:type="spellEnd"/>
      <w:r>
        <w:rPr>
          <w:lang w:val="en-US"/>
        </w:rPr>
        <w:t xml:space="preserve"> for Economic Co-operation and Development, “Annual Reports by Competition Agencies on recent developments, Canada 2000”, online &lt;,https://www.oecd.org/Canada/39553880.pdf.&gt;.</w:t>
      </w:r>
    </w:p>
  </w:footnote>
  <w:footnote w:id="31">
    <w:p w:rsidR="0061784F" w:rsidRPr="00FE19F1" w:rsidRDefault="0061784F" w:rsidP="0061784F">
      <w:pPr>
        <w:pStyle w:val="FootnoteText"/>
        <w:rPr>
          <w:lang w:val="en-US"/>
        </w:rPr>
      </w:pPr>
      <w:r>
        <w:rPr>
          <w:rStyle w:val="FootnoteReference"/>
        </w:rPr>
        <w:footnoteRef/>
      </w:r>
      <w:r>
        <w:t xml:space="preserve"> </w:t>
      </w:r>
      <w:r w:rsidRPr="00FE19F1">
        <w:rPr>
          <w:i/>
          <w:lang w:val="en-US"/>
        </w:rPr>
        <w:t>Canada (Commissioner of Competition) v Enbridge Services Inc</w:t>
      </w:r>
      <w:r>
        <w:rPr>
          <w:lang w:val="en-US"/>
        </w:rPr>
        <w:t>. 2002 Comp. Trib. 9 (Competition Trib.).</w:t>
      </w:r>
    </w:p>
  </w:footnote>
  <w:footnote w:id="32">
    <w:p w:rsidR="0061784F" w:rsidRPr="005A5B6E" w:rsidRDefault="0061784F" w:rsidP="0061784F">
      <w:pPr>
        <w:pStyle w:val="FootnoteText"/>
        <w:rPr>
          <w:lang w:val="en-US"/>
        </w:rPr>
      </w:pPr>
      <w:r>
        <w:rPr>
          <w:rStyle w:val="FootnoteReference"/>
        </w:rPr>
        <w:footnoteRef/>
      </w:r>
      <w:r>
        <w:t xml:space="preserve"> </w:t>
      </w:r>
      <w:r w:rsidRPr="005A5B6E">
        <w:rPr>
          <w:i/>
          <w:lang w:val="en-US"/>
        </w:rPr>
        <w:t>Canada (Commissioner of Competition) v Air Canada (2003),</w:t>
      </w:r>
      <w:r>
        <w:rPr>
          <w:lang w:val="en-US"/>
        </w:rPr>
        <w:t xml:space="preserve"> 26 C.P.R. (4</w:t>
      </w:r>
      <w:r w:rsidRPr="005A5B6E">
        <w:rPr>
          <w:vertAlign w:val="superscript"/>
          <w:lang w:val="en-US"/>
        </w:rPr>
        <w:t>th</w:t>
      </w:r>
      <w:r>
        <w:rPr>
          <w:lang w:val="en-US"/>
        </w:rPr>
        <w:t>) 476 (Competition Trib.) (</w:t>
      </w:r>
      <w:proofErr w:type="gramStart"/>
      <w:r>
        <w:rPr>
          <w:lang w:val="en-US"/>
        </w:rPr>
        <w:t>completed</w:t>
      </w:r>
      <w:proofErr w:type="gramEnd"/>
      <w:r>
        <w:rPr>
          <w:lang w:val="en-US"/>
        </w:rPr>
        <w:t xml:space="preserve"> in part and then discontinued).</w:t>
      </w:r>
    </w:p>
  </w:footnote>
  <w:footnote w:id="33">
    <w:p w:rsidR="00E21906" w:rsidRPr="00F44F9D" w:rsidRDefault="00E21906" w:rsidP="00F12820">
      <w:pPr>
        <w:pStyle w:val="FootnoteText"/>
        <w:rPr>
          <w:b/>
          <w:lang w:val="en-US"/>
        </w:rPr>
      </w:pPr>
      <w:r>
        <w:rPr>
          <w:rStyle w:val="FootnoteReference"/>
        </w:rPr>
        <w:footnoteRef/>
      </w:r>
      <w:r>
        <w:t xml:space="preserve"> </w:t>
      </w:r>
      <w:r>
        <w:rPr>
          <w:lang w:val="en-US"/>
        </w:rPr>
        <w:t xml:space="preserve">Canada, Competition Bureau News Release, “IKO Industries Ltd. Modifies its Loyalty Program Following Competition Bureau Investigation” (31 March 2003).  </w:t>
      </w:r>
    </w:p>
  </w:footnote>
  <w:footnote w:id="34">
    <w:p w:rsidR="0061784F" w:rsidRPr="00403384" w:rsidRDefault="0061784F" w:rsidP="0061784F">
      <w:pPr>
        <w:pStyle w:val="FootnoteText"/>
        <w:rPr>
          <w:lang w:val="en-US"/>
        </w:rPr>
      </w:pPr>
      <w:r>
        <w:rPr>
          <w:rStyle w:val="FootnoteReference"/>
        </w:rPr>
        <w:footnoteRef/>
      </w:r>
      <w:r>
        <w:t xml:space="preserve"> </w:t>
      </w:r>
      <w:r w:rsidRPr="00403384">
        <w:rPr>
          <w:i/>
          <w:lang w:val="en-US"/>
        </w:rPr>
        <w:t>Canada (Commissioner of Competition) v Canada Pipe Co.</w:t>
      </w:r>
      <w:r>
        <w:rPr>
          <w:lang w:val="en-US"/>
        </w:rPr>
        <w:t xml:space="preserve"> (2005), 40 C.P.R. (4</w:t>
      </w:r>
      <w:r w:rsidRPr="00403384">
        <w:rPr>
          <w:vertAlign w:val="superscript"/>
          <w:lang w:val="en-US"/>
        </w:rPr>
        <w:t>th</w:t>
      </w:r>
      <w:r>
        <w:rPr>
          <w:lang w:val="en-US"/>
        </w:rPr>
        <w:t xml:space="preserve">) 453 (Competition Trib.), reversed 2006 FCA 236 (F.C.A.), leave to appeal refused 2007 </w:t>
      </w:r>
      <w:proofErr w:type="spellStart"/>
      <w:r>
        <w:rPr>
          <w:lang w:val="en-US"/>
        </w:rPr>
        <w:t>CarswellNat</w:t>
      </w:r>
      <w:proofErr w:type="spellEnd"/>
      <w:r>
        <w:rPr>
          <w:lang w:val="en-US"/>
        </w:rPr>
        <w:t xml:space="preserve"> 1107 (S.C.C.), reversed 2006 </w:t>
      </w:r>
      <w:proofErr w:type="spellStart"/>
      <w:r>
        <w:rPr>
          <w:lang w:val="en-US"/>
        </w:rPr>
        <w:t>CarswellNat</w:t>
      </w:r>
      <w:proofErr w:type="spellEnd"/>
      <w:r>
        <w:rPr>
          <w:lang w:val="en-US"/>
        </w:rPr>
        <w:t xml:space="preserve"> 4554 (F.C.A.) (eventually settled by consent agreement).</w:t>
      </w:r>
    </w:p>
  </w:footnote>
  <w:footnote w:id="35">
    <w:p w:rsidR="00E53B9A" w:rsidRPr="00344C68" w:rsidRDefault="00E53B9A" w:rsidP="00E53B9A">
      <w:pPr>
        <w:pStyle w:val="FootnoteText"/>
        <w:rPr>
          <w:lang w:val="en-US"/>
        </w:rPr>
      </w:pPr>
      <w:r>
        <w:rPr>
          <w:rStyle w:val="FootnoteReference"/>
        </w:rPr>
        <w:footnoteRef/>
      </w:r>
      <w:r>
        <w:t xml:space="preserve"> </w:t>
      </w:r>
      <w:r w:rsidRPr="00344C68">
        <w:rPr>
          <w:i/>
          <w:lang w:val="en-US"/>
        </w:rPr>
        <w:t>Canada (Commissioner of Competition) v Waste Services (CA) Inc.,</w:t>
      </w:r>
      <w:r>
        <w:rPr>
          <w:lang w:val="en-US"/>
        </w:rPr>
        <w:t xml:space="preserve"> 2009 </w:t>
      </w:r>
      <w:proofErr w:type="spellStart"/>
      <w:r>
        <w:rPr>
          <w:lang w:val="en-US"/>
        </w:rPr>
        <w:t>CarswellNat</w:t>
      </w:r>
      <w:proofErr w:type="spellEnd"/>
      <w:r>
        <w:rPr>
          <w:lang w:val="en-US"/>
        </w:rPr>
        <w:t xml:space="preserve"> 4796 (Competition Trib.)</w:t>
      </w:r>
      <w:proofErr w:type="gramStart"/>
      <w:r>
        <w:rPr>
          <w:lang w:val="en-US"/>
        </w:rPr>
        <w:t>;</w:t>
      </w:r>
      <w:proofErr w:type="gramEnd"/>
      <w:r>
        <w:rPr>
          <w:lang w:val="en-US"/>
        </w:rPr>
        <w:t xml:space="preserve"> Canada Competition Bureau News Release, “Competition Bureau Cracks Down on Joint Abuse of Dominance by Waste Companies” (16 June 2009), online: &lt;www.competitionbureau.ca&gt;. </w:t>
      </w:r>
    </w:p>
  </w:footnote>
  <w:footnote w:id="36">
    <w:p w:rsidR="00E21906" w:rsidRPr="00F44F9D" w:rsidRDefault="00E21906" w:rsidP="00F12820">
      <w:pPr>
        <w:pStyle w:val="FootnoteText"/>
      </w:pPr>
      <w:r>
        <w:rPr>
          <w:rStyle w:val="FootnoteReference"/>
        </w:rPr>
        <w:footnoteRef/>
      </w:r>
      <w:r>
        <w:t xml:space="preserve"> </w:t>
      </w:r>
      <w:r w:rsidRPr="00F44F9D">
        <w:rPr>
          <w:i/>
        </w:rPr>
        <w:t>Commissioner of Competition v Canadian Real Estate Association</w:t>
      </w:r>
      <w:r>
        <w:t>, 2010 Comp. Trib., 12 (Competition Trib.) (</w:t>
      </w:r>
      <w:proofErr w:type="gramStart"/>
      <w:r>
        <w:t>eventually</w:t>
      </w:r>
      <w:proofErr w:type="gramEnd"/>
      <w:r>
        <w:t xml:space="preserve"> settled by consent agreement).</w:t>
      </w:r>
    </w:p>
  </w:footnote>
  <w:footnote w:id="37">
    <w:p w:rsidR="000C47E7" w:rsidRPr="00BB1B40" w:rsidRDefault="000C47E7" w:rsidP="000C47E7">
      <w:pPr>
        <w:pStyle w:val="FootnoteText"/>
        <w:rPr>
          <w:b/>
          <w:lang w:val="en-US"/>
        </w:rPr>
      </w:pPr>
      <w:r>
        <w:rPr>
          <w:rStyle w:val="FootnoteReference"/>
        </w:rPr>
        <w:footnoteRef/>
      </w:r>
      <w:r>
        <w:t xml:space="preserve"> </w:t>
      </w:r>
      <w:r w:rsidRPr="00FE19F1">
        <w:rPr>
          <w:i/>
          <w:lang w:val="en-US"/>
        </w:rPr>
        <w:t>Canada (Commissioner of Competition) v Direct Energy Marketing Limited</w:t>
      </w:r>
      <w:r>
        <w:rPr>
          <w:lang w:val="en-US"/>
        </w:rPr>
        <w:t xml:space="preserve"> (2012), CT-2012-003 (Competition Trib.)</w:t>
      </w:r>
      <w:r w:rsidR="003C75C9">
        <w:rPr>
          <w:lang w:val="en-US"/>
        </w:rPr>
        <w:t xml:space="preserve">; </w:t>
      </w:r>
      <w:r w:rsidR="003C75C9" w:rsidRPr="00205B18">
        <w:rPr>
          <w:i/>
          <w:lang w:val="en-US"/>
        </w:rPr>
        <w:t>Canada (Commissioner of Competition) v Reliance Comfort Limited Partnership</w:t>
      </w:r>
      <w:r w:rsidR="003C75C9">
        <w:rPr>
          <w:lang w:val="en-US"/>
        </w:rPr>
        <w:t xml:space="preserve"> (2012), </w:t>
      </w:r>
      <w:r w:rsidR="00205B18">
        <w:rPr>
          <w:lang w:val="en-US"/>
        </w:rPr>
        <w:t>CT-2012-002.</w:t>
      </w:r>
      <w:r>
        <w:rPr>
          <w:lang w:val="en-US"/>
        </w:rPr>
        <w:t xml:space="preserve"> </w:t>
      </w:r>
    </w:p>
  </w:footnote>
  <w:footnote w:id="38">
    <w:p w:rsidR="000C47E7" w:rsidRPr="000D4692" w:rsidRDefault="000C47E7" w:rsidP="000C47E7">
      <w:pPr>
        <w:pStyle w:val="FootnoteText"/>
      </w:pPr>
      <w:r>
        <w:rPr>
          <w:rStyle w:val="FootnoteReference"/>
        </w:rPr>
        <w:footnoteRef/>
      </w:r>
      <w:r>
        <w:t xml:space="preserve"> </w:t>
      </w:r>
      <w:r w:rsidRPr="00FE19F1">
        <w:rPr>
          <w:i/>
        </w:rPr>
        <w:t>Canada (Commissioner of Competition) v Toronto Real Estate Board,</w:t>
      </w:r>
      <w:r>
        <w:t xml:space="preserve"> 2013 (Competition Trib.), reversed 2014 FCA 29 (F.C.A.), leave to appeal refused 2014 </w:t>
      </w:r>
      <w:proofErr w:type="spellStart"/>
      <w:r>
        <w:t>CarswellNat</w:t>
      </w:r>
      <w:proofErr w:type="spellEnd"/>
      <w:r>
        <w:t xml:space="preserve"> 2755 (S.C.C.), reconsidered in 2016 Comp. Trib. 7 (Competition Trib.), affirmed 2017 FCA 236 (F.C.A.), leave to appeal refused 2018 </w:t>
      </w:r>
      <w:proofErr w:type="spellStart"/>
      <w:r>
        <w:t>CarswellNat</w:t>
      </w:r>
      <w:proofErr w:type="spellEnd"/>
      <w:r>
        <w:t xml:space="preserve"> 4555 (S.C.C.). </w:t>
      </w:r>
    </w:p>
  </w:footnote>
  <w:footnote w:id="39">
    <w:p w:rsidR="000C47E7" w:rsidRPr="00FE19F1" w:rsidRDefault="000C47E7" w:rsidP="000C47E7">
      <w:pPr>
        <w:pStyle w:val="FootnoteText"/>
        <w:rPr>
          <w:lang w:val="en-US"/>
        </w:rPr>
      </w:pPr>
      <w:r>
        <w:rPr>
          <w:rStyle w:val="FootnoteReference"/>
        </w:rPr>
        <w:footnoteRef/>
      </w:r>
      <w:r>
        <w:t xml:space="preserve"> </w:t>
      </w:r>
      <w:r w:rsidRPr="00344C68">
        <w:rPr>
          <w:i/>
          <w:lang w:val="en-US"/>
        </w:rPr>
        <w:t xml:space="preserve">Canada (Commissioner of Competition) and </w:t>
      </w:r>
      <w:proofErr w:type="spellStart"/>
      <w:r w:rsidRPr="00344C68">
        <w:rPr>
          <w:i/>
          <w:lang w:val="en-US"/>
        </w:rPr>
        <w:t>Softvoyage</w:t>
      </w:r>
      <w:proofErr w:type="spellEnd"/>
      <w:r w:rsidRPr="00344C68">
        <w:rPr>
          <w:i/>
          <w:lang w:val="en-US"/>
        </w:rPr>
        <w:t xml:space="preserve"> Inc</w:t>
      </w:r>
      <w:r>
        <w:rPr>
          <w:lang w:val="en-US"/>
        </w:rPr>
        <w:t xml:space="preserve">. Re 2017 </w:t>
      </w:r>
      <w:proofErr w:type="spellStart"/>
      <w:r>
        <w:rPr>
          <w:lang w:val="en-US"/>
        </w:rPr>
        <w:t>CarswellNat</w:t>
      </w:r>
      <w:proofErr w:type="spellEnd"/>
      <w:r>
        <w:rPr>
          <w:lang w:val="en-US"/>
        </w:rPr>
        <w:t xml:space="preserve"> 7884 (Competition Trib.).</w:t>
      </w:r>
    </w:p>
  </w:footnote>
  <w:footnote w:id="40">
    <w:p w:rsidR="000C47E7" w:rsidRPr="00AF46F7" w:rsidRDefault="000C47E7" w:rsidP="000C47E7">
      <w:pPr>
        <w:pStyle w:val="FootnoteText"/>
        <w:rPr>
          <w:b/>
          <w:lang w:val="en-US"/>
        </w:rPr>
      </w:pPr>
      <w:r>
        <w:rPr>
          <w:rStyle w:val="FootnoteReference"/>
        </w:rPr>
        <w:footnoteRef/>
      </w:r>
      <w:r>
        <w:t xml:space="preserve"> </w:t>
      </w:r>
      <w:r w:rsidRPr="00FE19F1">
        <w:rPr>
          <w:i/>
          <w:lang w:val="en-US"/>
        </w:rPr>
        <w:t>Commissioner of Competition v Vancouver Airport Authority</w:t>
      </w:r>
      <w:r>
        <w:rPr>
          <w:lang w:val="en-US"/>
        </w:rPr>
        <w:t xml:space="preserve">, 2017 Comp. Trib. 6 (Competition Trib.), reversed 2018 FCA 24 (F.C.A.).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F43A8"/>
    <w:multiLevelType w:val="multilevel"/>
    <w:tmpl w:val="9D1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61465"/>
    <w:multiLevelType w:val="hybridMultilevel"/>
    <w:tmpl w:val="1ACC5440"/>
    <w:lvl w:ilvl="0" w:tplc="0616C95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C693E"/>
    <w:multiLevelType w:val="hybridMultilevel"/>
    <w:tmpl w:val="4160537C"/>
    <w:lvl w:ilvl="0" w:tplc="410E3368">
      <w:start w:val="1"/>
      <w:numFmt w:val="lowerLetter"/>
      <w:pStyle w:val="Heading2"/>
      <w:lvlText w:val="%1."/>
      <w:lvlJc w:val="left"/>
      <w:pPr>
        <w:ind w:left="144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E81507"/>
    <w:multiLevelType w:val="multilevel"/>
    <w:tmpl w:val="CB12ED58"/>
    <w:lvl w:ilvl="0">
      <w:start w:val="1"/>
      <w:numFmt w:val="decimal"/>
      <w:pStyle w:val="Heading1"/>
      <w:lvlText w:val="%1."/>
      <w:lvlJc w:val="left"/>
      <w:pPr>
        <w:tabs>
          <w:tab w:val="num" w:pos="720"/>
        </w:tabs>
        <w:ind w:left="720" w:hanging="720"/>
      </w:pPr>
      <w:rPr>
        <w:rFonts w:hint="default"/>
        <w:b w:val="0"/>
        <w:i w:val="0"/>
        <w:caps w:val="0"/>
        <w:color w:val="010000"/>
        <w:u w:val="none"/>
      </w:rPr>
    </w:lvl>
    <w:lvl w:ilvl="1">
      <w:start w:val="1"/>
      <w:numFmt w:val="lowerLetter"/>
      <w:lvlText w:val="%2."/>
      <w:lvlJc w:val="left"/>
      <w:pPr>
        <w:tabs>
          <w:tab w:val="num" w:pos="1440"/>
        </w:tabs>
        <w:ind w:left="1440" w:hanging="720"/>
      </w:pPr>
      <w:rPr>
        <w:rFonts w:hint="default"/>
        <w:b w:val="0"/>
        <w:i w:val="0"/>
        <w:caps w:val="0"/>
        <w:color w:val="010000"/>
        <w:u w:val="none"/>
      </w:rPr>
    </w:lvl>
    <w:lvl w:ilvl="2">
      <w:start w:val="1"/>
      <w:numFmt w:val="lowerRoman"/>
      <w:pStyle w:val="Heading3"/>
      <w:lvlText w:val="(%3)"/>
      <w:lvlJc w:val="left"/>
      <w:pPr>
        <w:tabs>
          <w:tab w:val="num" w:pos="2160"/>
        </w:tabs>
        <w:ind w:left="2160" w:hanging="720"/>
      </w:pPr>
      <w:rPr>
        <w:rFonts w:hint="default"/>
        <w:caps w:val="0"/>
        <w:color w:val="010000"/>
        <w:u w:val="none"/>
      </w:rPr>
    </w:lvl>
    <w:lvl w:ilvl="3">
      <w:start w:val="1"/>
      <w:numFmt w:val="decimal"/>
      <w:pStyle w:val="Heading4"/>
      <w:lvlText w:val="(%4)"/>
      <w:lvlJc w:val="left"/>
      <w:pPr>
        <w:tabs>
          <w:tab w:val="num" w:pos="2880"/>
        </w:tabs>
        <w:ind w:left="2880" w:hanging="720"/>
      </w:pPr>
      <w:rPr>
        <w:rFonts w:hint="default"/>
        <w:caps w:val="0"/>
        <w:color w:val="010000"/>
        <w:u w:val="none"/>
      </w:rPr>
    </w:lvl>
    <w:lvl w:ilvl="4">
      <w:start w:val="1"/>
      <w:numFmt w:val="upperLetter"/>
      <w:pStyle w:val="Heading5"/>
      <w:lvlText w:val="(%5)"/>
      <w:lvlJc w:val="left"/>
      <w:pPr>
        <w:tabs>
          <w:tab w:val="num" w:pos="3600"/>
        </w:tabs>
        <w:ind w:left="3600" w:hanging="720"/>
      </w:pPr>
      <w:rPr>
        <w:rFonts w:hint="default"/>
        <w:caps w:val="0"/>
        <w:color w:val="010000"/>
        <w:u w:val="none"/>
      </w:rPr>
    </w:lvl>
    <w:lvl w:ilvl="5">
      <w:start w:val="1"/>
      <w:numFmt w:val="upperRoman"/>
      <w:pStyle w:val="Heading6"/>
      <w:lvlText w:val="(%6)"/>
      <w:lvlJc w:val="left"/>
      <w:pPr>
        <w:tabs>
          <w:tab w:val="num" w:pos="3600"/>
        </w:tabs>
        <w:ind w:left="3600" w:hanging="720"/>
      </w:pPr>
      <w:rPr>
        <w:rFonts w:hint="default"/>
        <w:caps w:val="0"/>
        <w:color w:val="010000"/>
        <w:u w:val="none"/>
      </w:rPr>
    </w:lvl>
    <w:lvl w:ilvl="6">
      <w:start w:val="1"/>
      <w:numFmt w:val="decimal"/>
      <w:pStyle w:val="Heading7"/>
      <w:lvlText w:val="%7)"/>
      <w:lvlJc w:val="left"/>
      <w:pPr>
        <w:tabs>
          <w:tab w:val="num" w:pos="3600"/>
        </w:tabs>
        <w:ind w:left="3600" w:hanging="720"/>
      </w:pPr>
      <w:rPr>
        <w:rFonts w:hint="default"/>
        <w:caps w:val="0"/>
        <w:color w:val="010000"/>
        <w:u w:val="none"/>
      </w:rPr>
    </w:lvl>
    <w:lvl w:ilvl="7">
      <w:start w:val="1"/>
      <w:numFmt w:val="lowerLetter"/>
      <w:pStyle w:val="Heading8"/>
      <w:lvlText w:val="%8)"/>
      <w:lvlJc w:val="left"/>
      <w:pPr>
        <w:tabs>
          <w:tab w:val="num" w:pos="3600"/>
        </w:tabs>
        <w:ind w:left="3600" w:hanging="720"/>
      </w:pPr>
      <w:rPr>
        <w:rFonts w:hint="default"/>
        <w:caps w:val="0"/>
        <w:color w:val="010000"/>
        <w:u w:val="none"/>
      </w:rPr>
    </w:lvl>
    <w:lvl w:ilvl="8">
      <w:start w:val="1"/>
      <w:numFmt w:val="lowerRoman"/>
      <w:pStyle w:val="Heading9"/>
      <w:lvlText w:val="%9)"/>
      <w:lvlJc w:val="left"/>
      <w:pPr>
        <w:tabs>
          <w:tab w:val="num" w:pos="3600"/>
        </w:tabs>
        <w:ind w:left="3600" w:hanging="720"/>
      </w:pPr>
      <w:rPr>
        <w:rFonts w:hint="default"/>
        <w:caps w:val="0"/>
        <w:color w:val="010000"/>
        <w:u w:val="none"/>
      </w:rPr>
    </w:lvl>
  </w:abstractNum>
  <w:abstractNum w:abstractNumId="4" w15:restartNumberingAfterBreak="0">
    <w:nsid w:val="3B4165D3"/>
    <w:multiLevelType w:val="hybridMultilevel"/>
    <w:tmpl w:val="E8C440E6"/>
    <w:lvl w:ilvl="0" w:tplc="0616C95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10EEF"/>
    <w:multiLevelType w:val="multilevel"/>
    <w:tmpl w:val="24C04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405469"/>
    <w:multiLevelType w:val="multilevel"/>
    <w:tmpl w:val="ECDE97DA"/>
    <w:lvl w:ilvl="0">
      <w:start w:val="1"/>
      <w:numFmt w:val="bullet"/>
      <w:lvlRestart w:val="0"/>
      <w:pStyle w:val="ONEBulletL1"/>
      <w:lvlText w:val=""/>
      <w:lvlJc w:val="left"/>
      <w:pPr>
        <w:ind w:left="720" w:hanging="360"/>
      </w:pPr>
      <w:rPr>
        <w:rFonts w:ascii="Wingdings" w:hAnsi="Wingdings" w:hint="default"/>
      </w:rPr>
    </w:lvl>
    <w:lvl w:ilvl="1">
      <w:start w:val="1"/>
      <w:numFmt w:val="bullet"/>
      <w:pStyle w:val="ONEBulletL2"/>
      <w:lvlText w:val="o"/>
      <w:lvlJc w:val="left"/>
      <w:pPr>
        <w:ind w:left="1080" w:hanging="360"/>
      </w:pPr>
      <w:rPr>
        <w:rFonts w:ascii="Courier New" w:hAnsi="Courier New" w:hint="default"/>
      </w:rPr>
    </w:lvl>
    <w:lvl w:ilvl="2">
      <w:start w:val="1"/>
      <w:numFmt w:val="bullet"/>
      <w:pStyle w:val="ONEBulletL3"/>
      <w:lvlText w:val=""/>
      <w:lvlJc w:val="left"/>
      <w:pPr>
        <w:ind w:left="1440"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59908C7"/>
    <w:multiLevelType w:val="multilevel"/>
    <w:tmpl w:val="C7E06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9410D4"/>
    <w:multiLevelType w:val="hybridMultilevel"/>
    <w:tmpl w:val="5E26512E"/>
    <w:lvl w:ilvl="0" w:tplc="0616C95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1545D7"/>
    <w:multiLevelType w:val="hybridMultilevel"/>
    <w:tmpl w:val="1C3A2050"/>
    <w:lvl w:ilvl="0" w:tplc="ACB2A462">
      <w:start w:val="1"/>
      <w:numFmt w:val="bullet"/>
      <w:lvlRestart w:val="0"/>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6E065BA"/>
    <w:multiLevelType w:val="multilevel"/>
    <w:tmpl w:val="BD46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8A48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DB71BA"/>
    <w:multiLevelType w:val="multilevel"/>
    <w:tmpl w:val="7B00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826495"/>
    <w:multiLevelType w:val="multilevel"/>
    <w:tmpl w:val="C6E83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6"/>
  </w:num>
  <w:num w:numId="14">
    <w:abstractNumId w:val="6"/>
  </w:num>
  <w:num w:numId="15">
    <w:abstractNumId w:val="6"/>
  </w:num>
  <w:num w:numId="16">
    <w:abstractNumId w:val="11"/>
  </w:num>
  <w:num w:numId="17">
    <w:abstractNumId w:val="4"/>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0"/>
  </w:num>
  <w:num w:numId="30">
    <w:abstractNumId w:val="7"/>
  </w:num>
  <w:num w:numId="31">
    <w:abstractNumId w:val="13"/>
  </w:num>
  <w:num w:numId="32">
    <w:abstractNumId w:val="12"/>
  </w:num>
  <w:num w:numId="33">
    <w:abstractNumId w:val="0"/>
  </w:num>
  <w:num w:numId="34">
    <w:abstractNumId w:val="8"/>
  </w:num>
  <w:num w:numId="35">
    <w:abstractNumId w:val="3"/>
  </w:num>
  <w:num w:numId="36">
    <w:abstractNumId w:val="9"/>
  </w:num>
  <w:num w:numId="37">
    <w:abstractNumId w:val="1"/>
  </w:num>
  <w:num w:numId="38">
    <w:abstractNumId w:val="2"/>
  </w:num>
  <w:num w:numId="3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aultNumberOfLevelsInTOCForThisScheme" w:val="3"/>
    <w:docVar w:name="DocIDAuthor" w:val="False"/>
    <w:docVar w:name="DocIDClientMatter" w:val="False"/>
    <w:docVar w:name="DocIDDate" w:val="False"/>
    <w:docVar w:name="DocIDDateText" w:val="False"/>
    <w:docVar w:name="DocIDLibrary" w:val="True"/>
    <w:docVar w:name="DocIDType" w:val="AllPages"/>
    <w:docVar w:name="DocIDTypist" w:val="False"/>
    <w:docVar w:name="LastSchemeChoice" w:val="General Numbering"/>
    <w:docVar w:name="LastSchemeUniqueID" w:val="134"/>
    <w:docVar w:name="LegacyDocIDRemoved" w:val="True"/>
    <w:docVar w:name="Option0True" w:val="False"/>
    <w:docVar w:name="Option1True" w:val="False"/>
    <w:docVar w:name="Option2True" w:val="False"/>
    <w:docVar w:name="Option3True" w:val="False"/>
  </w:docVars>
  <w:rsids>
    <w:rsidRoot w:val="00662608"/>
    <w:rsid w:val="0000146D"/>
    <w:rsid w:val="00004239"/>
    <w:rsid w:val="000107A2"/>
    <w:rsid w:val="000361A1"/>
    <w:rsid w:val="000377F4"/>
    <w:rsid w:val="00046C67"/>
    <w:rsid w:val="000512B5"/>
    <w:rsid w:val="00067E12"/>
    <w:rsid w:val="000A1601"/>
    <w:rsid w:val="000B2500"/>
    <w:rsid w:val="000C47E7"/>
    <w:rsid w:val="000C5D92"/>
    <w:rsid w:val="000D283D"/>
    <w:rsid w:val="000D3D5A"/>
    <w:rsid w:val="000D4692"/>
    <w:rsid w:val="00112321"/>
    <w:rsid w:val="001656BA"/>
    <w:rsid w:val="00183781"/>
    <w:rsid w:val="001A1E31"/>
    <w:rsid w:val="001A3DEB"/>
    <w:rsid w:val="00205B18"/>
    <w:rsid w:val="00207A13"/>
    <w:rsid w:val="002156C2"/>
    <w:rsid w:val="002247E8"/>
    <w:rsid w:val="002867A8"/>
    <w:rsid w:val="00290A6C"/>
    <w:rsid w:val="002A496D"/>
    <w:rsid w:val="002B2330"/>
    <w:rsid w:val="002C16C0"/>
    <w:rsid w:val="002D1E2E"/>
    <w:rsid w:val="00301D1E"/>
    <w:rsid w:val="0030478D"/>
    <w:rsid w:val="00306629"/>
    <w:rsid w:val="00316E08"/>
    <w:rsid w:val="00344C68"/>
    <w:rsid w:val="00387F2F"/>
    <w:rsid w:val="00391555"/>
    <w:rsid w:val="003B0A14"/>
    <w:rsid w:val="003C75C9"/>
    <w:rsid w:val="003D01CD"/>
    <w:rsid w:val="003F5A9D"/>
    <w:rsid w:val="00400D1B"/>
    <w:rsid w:val="00403384"/>
    <w:rsid w:val="004163DD"/>
    <w:rsid w:val="00432DE0"/>
    <w:rsid w:val="0046341F"/>
    <w:rsid w:val="004A7CB2"/>
    <w:rsid w:val="004E546F"/>
    <w:rsid w:val="004F1C3D"/>
    <w:rsid w:val="00502851"/>
    <w:rsid w:val="00515F51"/>
    <w:rsid w:val="00570544"/>
    <w:rsid w:val="00594407"/>
    <w:rsid w:val="005A5B6E"/>
    <w:rsid w:val="005D18C6"/>
    <w:rsid w:val="005D5617"/>
    <w:rsid w:val="00616350"/>
    <w:rsid w:val="0061784F"/>
    <w:rsid w:val="00631131"/>
    <w:rsid w:val="00644610"/>
    <w:rsid w:val="00662608"/>
    <w:rsid w:val="00685154"/>
    <w:rsid w:val="006C06EE"/>
    <w:rsid w:val="006C32D4"/>
    <w:rsid w:val="006E5F49"/>
    <w:rsid w:val="00710ADA"/>
    <w:rsid w:val="00716F78"/>
    <w:rsid w:val="00722A5E"/>
    <w:rsid w:val="007413D5"/>
    <w:rsid w:val="00742724"/>
    <w:rsid w:val="00756777"/>
    <w:rsid w:val="00760817"/>
    <w:rsid w:val="007733CC"/>
    <w:rsid w:val="007A5DB9"/>
    <w:rsid w:val="00882D3F"/>
    <w:rsid w:val="008852E1"/>
    <w:rsid w:val="008A0C78"/>
    <w:rsid w:val="008A7233"/>
    <w:rsid w:val="008C54EE"/>
    <w:rsid w:val="008D66B6"/>
    <w:rsid w:val="009172F6"/>
    <w:rsid w:val="009224E7"/>
    <w:rsid w:val="00930717"/>
    <w:rsid w:val="0094766E"/>
    <w:rsid w:val="0095375D"/>
    <w:rsid w:val="009668DA"/>
    <w:rsid w:val="009878D7"/>
    <w:rsid w:val="00987A21"/>
    <w:rsid w:val="009F0B43"/>
    <w:rsid w:val="009F49B9"/>
    <w:rsid w:val="00A206CE"/>
    <w:rsid w:val="00A22ADB"/>
    <w:rsid w:val="00A503A1"/>
    <w:rsid w:val="00A52A52"/>
    <w:rsid w:val="00A663D1"/>
    <w:rsid w:val="00A90129"/>
    <w:rsid w:val="00AB7DB4"/>
    <w:rsid w:val="00AF46F7"/>
    <w:rsid w:val="00B02B65"/>
    <w:rsid w:val="00B12962"/>
    <w:rsid w:val="00B1529F"/>
    <w:rsid w:val="00B41A8C"/>
    <w:rsid w:val="00B84E09"/>
    <w:rsid w:val="00B93C9A"/>
    <w:rsid w:val="00BB1B40"/>
    <w:rsid w:val="00BF16D7"/>
    <w:rsid w:val="00BF4EB6"/>
    <w:rsid w:val="00C01346"/>
    <w:rsid w:val="00C16AB7"/>
    <w:rsid w:val="00C42AD4"/>
    <w:rsid w:val="00C720BA"/>
    <w:rsid w:val="00CA78B4"/>
    <w:rsid w:val="00CB2129"/>
    <w:rsid w:val="00CC0847"/>
    <w:rsid w:val="00CC41B6"/>
    <w:rsid w:val="00CD1F3C"/>
    <w:rsid w:val="00CD3BED"/>
    <w:rsid w:val="00D10763"/>
    <w:rsid w:val="00D127C0"/>
    <w:rsid w:val="00D34025"/>
    <w:rsid w:val="00D43F5B"/>
    <w:rsid w:val="00D53EB2"/>
    <w:rsid w:val="00D70D70"/>
    <w:rsid w:val="00D8522A"/>
    <w:rsid w:val="00D86AEE"/>
    <w:rsid w:val="00D90A40"/>
    <w:rsid w:val="00D92F1D"/>
    <w:rsid w:val="00D95D73"/>
    <w:rsid w:val="00DD1E1F"/>
    <w:rsid w:val="00DE783A"/>
    <w:rsid w:val="00E009A5"/>
    <w:rsid w:val="00E21906"/>
    <w:rsid w:val="00E41E27"/>
    <w:rsid w:val="00E53B9A"/>
    <w:rsid w:val="00E55E23"/>
    <w:rsid w:val="00F00469"/>
    <w:rsid w:val="00F12820"/>
    <w:rsid w:val="00F44F9D"/>
    <w:rsid w:val="00F80A98"/>
    <w:rsid w:val="00FD6C5A"/>
    <w:rsid w:val="00FD75BA"/>
    <w:rsid w:val="00FE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oNotEmbedSmartTags/>
  <w:decimalSymbol w:val="."/>
  <w:listSeparator w:val=","/>
  <w14:docId w14:val="722FEA72"/>
  <w15:docId w15:val="{7A29BA07-0809-4262-8D49-F3762B0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131"/>
    <w:rPr>
      <w:lang w:val="en-CA"/>
    </w:rPr>
  </w:style>
  <w:style w:type="paragraph" w:styleId="Heading1">
    <w:name w:val="heading 1"/>
    <w:basedOn w:val="Normal"/>
    <w:link w:val="Heading1Char"/>
    <w:qFormat/>
    <w:rsid w:val="008852E1"/>
    <w:pPr>
      <w:numPr>
        <w:numId w:val="35"/>
      </w:numPr>
      <w:outlineLvl w:val="0"/>
    </w:pPr>
    <w:rPr>
      <w:rFonts w:eastAsiaTheme="majorEastAsia" w:cstheme="majorBidi"/>
      <w:bCs/>
      <w:szCs w:val="28"/>
    </w:rPr>
  </w:style>
  <w:style w:type="paragraph" w:styleId="Heading2">
    <w:name w:val="heading 2"/>
    <w:basedOn w:val="Normal"/>
    <w:link w:val="Heading2Char"/>
    <w:unhideWhenUsed/>
    <w:qFormat/>
    <w:rsid w:val="008852E1"/>
    <w:pPr>
      <w:numPr>
        <w:numId w:val="38"/>
      </w:numPr>
      <w:outlineLvl w:val="1"/>
    </w:pPr>
    <w:rPr>
      <w:rFonts w:eastAsiaTheme="majorEastAsia" w:cstheme="majorBidi"/>
      <w:bCs/>
      <w:szCs w:val="26"/>
    </w:rPr>
  </w:style>
  <w:style w:type="paragraph" w:styleId="Heading3">
    <w:name w:val="heading 3"/>
    <w:basedOn w:val="Normal"/>
    <w:link w:val="Heading3Char"/>
    <w:semiHidden/>
    <w:unhideWhenUsed/>
    <w:qFormat/>
    <w:rsid w:val="008852E1"/>
    <w:pPr>
      <w:numPr>
        <w:ilvl w:val="2"/>
        <w:numId w:val="35"/>
      </w:numPr>
      <w:outlineLvl w:val="2"/>
    </w:pPr>
    <w:rPr>
      <w:rFonts w:eastAsiaTheme="majorEastAsia" w:cstheme="majorBidi"/>
      <w:bCs/>
    </w:rPr>
  </w:style>
  <w:style w:type="paragraph" w:styleId="Heading4">
    <w:name w:val="heading 4"/>
    <w:basedOn w:val="Normal"/>
    <w:link w:val="Heading4Char"/>
    <w:semiHidden/>
    <w:unhideWhenUsed/>
    <w:qFormat/>
    <w:rsid w:val="008852E1"/>
    <w:pPr>
      <w:numPr>
        <w:ilvl w:val="3"/>
        <w:numId w:val="35"/>
      </w:numPr>
      <w:outlineLvl w:val="3"/>
    </w:pPr>
    <w:rPr>
      <w:rFonts w:eastAsiaTheme="majorEastAsia" w:cstheme="majorBidi"/>
      <w:bCs/>
      <w:iCs/>
    </w:rPr>
  </w:style>
  <w:style w:type="paragraph" w:styleId="Heading5">
    <w:name w:val="heading 5"/>
    <w:basedOn w:val="Normal"/>
    <w:link w:val="Heading5Char"/>
    <w:semiHidden/>
    <w:unhideWhenUsed/>
    <w:qFormat/>
    <w:rsid w:val="008852E1"/>
    <w:pPr>
      <w:numPr>
        <w:ilvl w:val="4"/>
        <w:numId w:val="35"/>
      </w:numPr>
      <w:outlineLvl w:val="4"/>
    </w:pPr>
    <w:rPr>
      <w:rFonts w:eastAsiaTheme="majorEastAsia" w:cstheme="majorBidi"/>
    </w:rPr>
  </w:style>
  <w:style w:type="paragraph" w:styleId="Heading6">
    <w:name w:val="heading 6"/>
    <w:basedOn w:val="Normal"/>
    <w:link w:val="Heading6Char"/>
    <w:semiHidden/>
    <w:unhideWhenUsed/>
    <w:qFormat/>
    <w:rsid w:val="008852E1"/>
    <w:pPr>
      <w:numPr>
        <w:ilvl w:val="5"/>
        <w:numId w:val="35"/>
      </w:numPr>
      <w:outlineLvl w:val="5"/>
    </w:pPr>
    <w:rPr>
      <w:rFonts w:eastAsiaTheme="majorEastAsia" w:cstheme="majorBidi"/>
      <w:iCs/>
    </w:rPr>
  </w:style>
  <w:style w:type="paragraph" w:styleId="Heading7">
    <w:name w:val="heading 7"/>
    <w:basedOn w:val="Normal"/>
    <w:link w:val="Heading7Char"/>
    <w:semiHidden/>
    <w:unhideWhenUsed/>
    <w:qFormat/>
    <w:rsid w:val="008852E1"/>
    <w:pPr>
      <w:numPr>
        <w:ilvl w:val="6"/>
        <w:numId w:val="35"/>
      </w:numPr>
      <w:outlineLvl w:val="6"/>
    </w:pPr>
    <w:rPr>
      <w:rFonts w:eastAsiaTheme="majorEastAsia" w:cstheme="majorBidi"/>
      <w:iCs/>
    </w:rPr>
  </w:style>
  <w:style w:type="paragraph" w:styleId="Heading8">
    <w:name w:val="heading 8"/>
    <w:basedOn w:val="Normal"/>
    <w:link w:val="Heading8Char"/>
    <w:semiHidden/>
    <w:unhideWhenUsed/>
    <w:qFormat/>
    <w:rsid w:val="008852E1"/>
    <w:pPr>
      <w:numPr>
        <w:ilvl w:val="7"/>
        <w:numId w:val="35"/>
      </w:numPr>
      <w:outlineLvl w:val="7"/>
    </w:pPr>
    <w:rPr>
      <w:rFonts w:eastAsiaTheme="majorEastAsia" w:cstheme="majorBidi"/>
    </w:rPr>
  </w:style>
  <w:style w:type="paragraph" w:styleId="Heading9">
    <w:name w:val="heading 9"/>
    <w:basedOn w:val="Normal"/>
    <w:link w:val="Heading9Char"/>
    <w:semiHidden/>
    <w:unhideWhenUsed/>
    <w:qFormat/>
    <w:rsid w:val="008852E1"/>
    <w:pPr>
      <w:numPr>
        <w:ilvl w:val="8"/>
        <w:numId w:val="35"/>
      </w:numPr>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F16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6D7"/>
    <w:rPr>
      <w:rFonts w:ascii="Tahoma" w:hAnsi="Tahoma" w:cs="Tahoma"/>
      <w:sz w:val="16"/>
      <w:szCs w:val="16"/>
      <w:lang w:val="en-CA"/>
    </w:rPr>
  </w:style>
  <w:style w:type="paragraph" w:styleId="Bibliography">
    <w:name w:val="Bibliography"/>
    <w:basedOn w:val="Normal"/>
    <w:next w:val="Normal"/>
    <w:uiPriority w:val="99"/>
    <w:semiHidden/>
    <w:rsid w:val="00BF16D7"/>
  </w:style>
  <w:style w:type="paragraph" w:styleId="BlockText">
    <w:name w:val="Block Text"/>
    <w:basedOn w:val="Normal"/>
    <w:uiPriority w:val="99"/>
    <w:semiHidden/>
    <w:rsid w:val="00BF16D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rsid w:val="00BF16D7"/>
    <w:pPr>
      <w:spacing w:after="120"/>
    </w:pPr>
  </w:style>
  <w:style w:type="character" w:customStyle="1" w:styleId="BodyTextChar">
    <w:name w:val="Body Text Char"/>
    <w:basedOn w:val="DefaultParagraphFont"/>
    <w:link w:val="BodyText"/>
    <w:uiPriority w:val="99"/>
    <w:semiHidden/>
    <w:rsid w:val="00BF16D7"/>
    <w:rPr>
      <w:lang w:val="en-CA"/>
    </w:rPr>
  </w:style>
  <w:style w:type="paragraph" w:styleId="BodyText2">
    <w:name w:val="Body Text 2"/>
    <w:basedOn w:val="Normal"/>
    <w:link w:val="BodyText2Char"/>
    <w:uiPriority w:val="99"/>
    <w:semiHidden/>
    <w:rsid w:val="00BF16D7"/>
    <w:pPr>
      <w:spacing w:after="120" w:line="480" w:lineRule="auto"/>
    </w:pPr>
  </w:style>
  <w:style w:type="character" w:customStyle="1" w:styleId="BodyText2Char">
    <w:name w:val="Body Text 2 Char"/>
    <w:basedOn w:val="DefaultParagraphFont"/>
    <w:link w:val="BodyText2"/>
    <w:uiPriority w:val="99"/>
    <w:semiHidden/>
    <w:rsid w:val="00BF16D7"/>
    <w:rPr>
      <w:lang w:val="en-CA"/>
    </w:rPr>
  </w:style>
  <w:style w:type="paragraph" w:styleId="BodyText3">
    <w:name w:val="Body Text 3"/>
    <w:basedOn w:val="Normal"/>
    <w:link w:val="BodyText3Char"/>
    <w:uiPriority w:val="99"/>
    <w:semiHidden/>
    <w:rsid w:val="00BF16D7"/>
    <w:pPr>
      <w:spacing w:after="120"/>
    </w:pPr>
    <w:rPr>
      <w:sz w:val="16"/>
      <w:szCs w:val="16"/>
    </w:rPr>
  </w:style>
  <w:style w:type="character" w:customStyle="1" w:styleId="BodyText3Char">
    <w:name w:val="Body Text 3 Char"/>
    <w:basedOn w:val="DefaultParagraphFont"/>
    <w:link w:val="BodyText3"/>
    <w:uiPriority w:val="99"/>
    <w:semiHidden/>
    <w:rsid w:val="00BF16D7"/>
    <w:rPr>
      <w:sz w:val="16"/>
      <w:szCs w:val="16"/>
      <w:lang w:val="en-CA"/>
    </w:rPr>
  </w:style>
  <w:style w:type="paragraph" w:styleId="BodyTextFirstIndent">
    <w:name w:val="Body Text First Indent"/>
    <w:basedOn w:val="BodyText"/>
    <w:link w:val="BodyTextFirstIndentChar"/>
    <w:uiPriority w:val="99"/>
    <w:semiHidden/>
    <w:rsid w:val="00BF16D7"/>
    <w:pPr>
      <w:spacing w:after="200"/>
      <w:ind w:firstLine="360"/>
    </w:pPr>
  </w:style>
  <w:style w:type="character" w:customStyle="1" w:styleId="BodyTextFirstIndentChar">
    <w:name w:val="Body Text First Indent Char"/>
    <w:basedOn w:val="BodyTextChar"/>
    <w:link w:val="BodyTextFirstIndent"/>
    <w:uiPriority w:val="99"/>
    <w:semiHidden/>
    <w:rsid w:val="00BF16D7"/>
    <w:rPr>
      <w:lang w:val="en-CA"/>
    </w:rPr>
  </w:style>
  <w:style w:type="paragraph" w:styleId="BodyTextIndent">
    <w:name w:val="Body Text Indent"/>
    <w:basedOn w:val="Normal"/>
    <w:link w:val="BodyTextIndentChar"/>
    <w:uiPriority w:val="99"/>
    <w:semiHidden/>
    <w:rsid w:val="00BF16D7"/>
    <w:pPr>
      <w:spacing w:after="120"/>
      <w:ind w:left="360"/>
    </w:pPr>
  </w:style>
  <w:style w:type="character" w:customStyle="1" w:styleId="BodyTextIndentChar">
    <w:name w:val="Body Text Indent Char"/>
    <w:basedOn w:val="DefaultParagraphFont"/>
    <w:link w:val="BodyTextIndent"/>
    <w:uiPriority w:val="99"/>
    <w:semiHidden/>
    <w:rsid w:val="00BF16D7"/>
    <w:rPr>
      <w:lang w:val="en-CA"/>
    </w:rPr>
  </w:style>
  <w:style w:type="paragraph" w:styleId="BodyTextFirstIndent2">
    <w:name w:val="Body Text First Indent 2"/>
    <w:basedOn w:val="BodyTextIndent"/>
    <w:link w:val="BodyTextFirstIndent2Char"/>
    <w:uiPriority w:val="99"/>
    <w:semiHidden/>
    <w:rsid w:val="00BF16D7"/>
    <w:pPr>
      <w:spacing w:after="200"/>
      <w:ind w:firstLine="360"/>
    </w:pPr>
  </w:style>
  <w:style w:type="character" w:customStyle="1" w:styleId="BodyTextFirstIndent2Char">
    <w:name w:val="Body Text First Indent 2 Char"/>
    <w:basedOn w:val="BodyTextIndentChar"/>
    <w:link w:val="BodyTextFirstIndent2"/>
    <w:uiPriority w:val="99"/>
    <w:semiHidden/>
    <w:rsid w:val="00BF16D7"/>
    <w:rPr>
      <w:lang w:val="en-CA"/>
    </w:rPr>
  </w:style>
  <w:style w:type="paragraph" w:styleId="BodyTextIndent2">
    <w:name w:val="Body Text Indent 2"/>
    <w:basedOn w:val="Normal"/>
    <w:link w:val="BodyTextIndent2Char"/>
    <w:uiPriority w:val="99"/>
    <w:semiHidden/>
    <w:rsid w:val="00BF16D7"/>
    <w:pPr>
      <w:spacing w:after="120" w:line="480" w:lineRule="auto"/>
      <w:ind w:left="360"/>
    </w:pPr>
  </w:style>
  <w:style w:type="character" w:customStyle="1" w:styleId="BodyTextIndent2Char">
    <w:name w:val="Body Text Indent 2 Char"/>
    <w:basedOn w:val="DefaultParagraphFont"/>
    <w:link w:val="BodyTextIndent2"/>
    <w:uiPriority w:val="99"/>
    <w:semiHidden/>
    <w:rsid w:val="00BF16D7"/>
    <w:rPr>
      <w:lang w:val="en-CA"/>
    </w:rPr>
  </w:style>
  <w:style w:type="paragraph" w:styleId="BodyTextIndent3">
    <w:name w:val="Body Text Indent 3"/>
    <w:basedOn w:val="Normal"/>
    <w:link w:val="BodyTextIndent3Char"/>
    <w:uiPriority w:val="99"/>
    <w:semiHidden/>
    <w:rsid w:val="00BF16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F16D7"/>
    <w:rPr>
      <w:sz w:val="16"/>
      <w:szCs w:val="16"/>
      <w:lang w:val="en-CA"/>
    </w:rPr>
  </w:style>
  <w:style w:type="character" w:styleId="BookTitle">
    <w:name w:val="Book Title"/>
    <w:basedOn w:val="DefaultParagraphFont"/>
    <w:uiPriority w:val="99"/>
    <w:semiHidden/>
    <w:qFormat/>
    <w:rsid w:val="00BF16D7"/>
    <w:rPr>
      <w:b/>
      <w:bCs/>
      <w:smallCaps/>
      <w:spacing w:val="5"/>
    </w:rPr>
  </w:style>
  <w:style w:type="paragraph" w:styleId="Caption">
    <w:name w:val="caption"/>
    <w:basedOn w:val="Normal"/>
    <w:next w:val="Normal"/>
    <w:uiPriority w:val="99"/>
    <w:semiHidden/>
    <w:qFormat/>
    <w:rsid w:val="00BF16D7"/>
    <w:rPr>
      <w:b/>
      <w:bCs/>
      <w:color w:val="4F81BD" w:themeColor="accent1"/>
      <w:sz w:val="18"/>
      <w:szCs w:val="18"/>
    </w:rPr>
  </w:style>
  <w:style w:type="paragraph" w:styleId="Closing">
    <w:name w:val="Closing"/>
    <w:basedOn w:val="Normal"/>
    <w:link w:val="ClosingChar"/>
    <w:uiPriority w:val="99"/>
    <w:semiHidden/>
    <w:rsid w:val="00BF16D7"/>
    <w:pPr>
      <w:spacing w:after="0"/>
      <w:ind w:left="4320"/>
    </w:pPr>
  </w:style>
  <w:style w:type="character" w:customStyle="1" w:styleId="ClosingChar">
    <w:name w:val="Closing Char"/>
    <w:basedOn w:val="DefaultParagraphFont"/>
    <w:link w:val="Closing"/>
    <w:uiPriority w:val="99"/>
    <w:semiHidden/>
    <w:rsid w:val="00BF16D7"/>
    <w:rPr>
      <w:lang w:val="en-CA"/>
    </w:rPr>
  </w:style>
  <w:style w:type="character" w:styleId="CommentReference">
    <w:name w:val="annotation reference"/>
    <w:basedOn w:val="DefaultParagraphFont"/>
    <w:uiPriority w:val="99"/>
    <w:semiHidden/>
    <w:unhideWhenUsed/>
    <w:rsid w:val="00BF16D7"/>
    <w:rPr>
      <w:sz w:val="16"/>
      <w:szCs w:val="16"/>
    </w:rPr>
  </w:style>
  <w:style w:type="paragraph" w:styleId="CommentText">
    <w:name w:val="annotation text"/>
    <w:basedOn w:val="Normal"/>
    <w:link w:val="CommentTextChar"/>
    <w:uiPriority w:val="99"/>
    <w:semiHidden/>
    <w:unhideWhenUsed/>
    <w:rsid w:val="00BF16D7"/>
  </w:style>
  <w:style w:type="character" w:customStyle="1" w:styleId="CommentTextChar">
    <w:name w:val="Comment Text Char"/>
    <w:basedOn w:val="DefaultParagraphFont"/>
    <w:link w:val="CommentText"/>
    <w:uiPriority w:val="99"/>
    <w:semiHidden/>
    <w:rsid w:val="00BF16D7"/>
    <w:rPr>
      <w:lang w:val="en-CA"/>
    </w:rPr>
  </w:style>
  <w:style w:type="paragraph" w:styleId="CommentSubject">
    <w:name w:val="annotation subject"/>
    <w:basedOn w:val="CommentText"/>
    <w:next w:val="CommentText"/>
    <w:link w:val="CommentSubjectChar"/>
    <w:uiPriority w:val="99"/>
    <w:semiHidden/>
    <w:unhideWhenUsed/>
    <w:rsid w:val="00BF16D7"/>
    <w:rPr>
      <w:b/>
      <w:bCs/>
    </w:rPr>
  </w:style>
  <w:style w:type="character" w:customStyle="1" w:styleId="CommentSubjectChar">
    <w:name w:val="Comment Subject Char"/>
    <w:basedOn w:val="CommentTextChar"/>
    <w:link w:val="CommentSubject"/>
    <w:uiPriority w:val="99"/>
    <w:semiHidden/>
    <w:rsid w:val="00BF16D7"/>
    <w:rPr>
      <w:b/>
      <w:bCs/>
      <w:lang w:val="en-CA"/>
    </w:rPr>
  </w:style>
  <w:style w:type="paragraph" w:styleId="Date">
    <w:name w:val="Date"/>
    <w:basedOn w:val="Normal"/>
    <w:next w:val="Normal"/>
    <w:link w:val="DateChar"/>
    <w:uiPriority w:val="99"/>
    <w:semiHidden/>
    <w:unhideWhenUsed/>
    <w:rsid w:val="00BF16D7"/>
  </w:style>
  <w:style w:type="character" w:customStyle="1" w:styleId="DateChar">
    <w:name w:val="Date Char"/>
    <w:basedOn w:val="DefaultParagraphFont"/>
    <w:link w:val="Date"/>
    <w:uiPriority w:val="99"/>
    <w:semiHidden/>
    <w:rsid w:val="00BF16D7"/>
    <w:rPr>
      <w:lang w:val="en-CA"/>
    </w:rPr>
  </w:style>
  <w:style w:type="paragraph" w:styleId="DocumentMap">
    <w:name w:val="Document Map"/>
    <w:basedOn w:val="Normal"/>
    <w:link w:val="DocumentMapChar"/>
    <w:uiPriority w:val="99"/>
    <w:semiHidden/>
    <w:unhideWhenUsed/>
    <w:rsid w:val="00BF16D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F16D7"/>
    <w:rPr>
      <w:rFonts w:ascii="Tahoma" w:hAnsi="Tahoma" w:cs="Tahoma"/>
      <w:sz w:val="16"/>
      <w:szCs w:val="16"/>
      <w:lang w:val="en-CA"/>
    </w:rPr>
  </w:style>
  <w:style w:type="paragraph" w:styleId="E-mailSignature">
    <w:name w:val="E-mail Signature"/>
    <w:basedOn w:val="Normal"/>
    <w:link w:val="E-mailSignatureChar"/>
    <w:uiPriority w:val="99"/>
    <w:semiHidden/>
    <w:unhideWhenUsed/>
    <w:rsid w:val="00BF16D7"/>
    <w:pPr>
      <w:spacing w:after="0"/>
    </w:pPr>
  </w:style>
  <w:style w:type="character" w:customStyle="1" w:styleId="E-mailSignatureChar">
    <w:name w:val="E-mail Signature Char"/>
    <w:basedOn w:val="DefaultParagraphFont"/>
    <w:link w:val="E-mailSignature"/>
    <w:uiPriority w:val="99"/>
    <w:semiHidden/>
    <w:rsid w:val="00BF16D7"/>
    <w:rPr>
      <w:lang w:val="en-CA"/>
    </w:rPr>
  </w:style>
  <w:style w:type="character" w:styleId="Emphasis">
    <w:name w:val="Emphasis"/>
    <w:basedOn w:val="DefaultParagraphFont"/>
    <w:uiPriority w:val="99"/>
    <w:semiHidden/>
    <w:qFormat/>
    <w:rsid w:val="00BF16D7"/>
    <w:rPr>
      <w:i/>
      <w:iCs/>
    </w:rPr>
  </w:style>
  <w:style w:type="character" w:styleId="EndnoteReference">
    <w:name w:val="endnote reference"/>
    <w:basedOn w:val="DefaultParagraphFont"/>
    <w:uiPriority w:val="99"/>
    <w:semiHidden/>
    <w:unhideWhenUsed/>
    <w:rsid w:val="00BF16D7"/>
    <w:rPr>
      <w:vertAlign w:val="superscript"/>
    </w:rPr>
  </w:style>
  <w:style w:type="paragraph" w:styleId="EndnoteText">
    <w:name w:val="endnote text"/>
    <w:basedOn w:val="Normal"/>
    <w:link w:val="EndnoteTextChar"/>
    <w:uiPriority w:val="99"/>
    <w:semiHidden/>
    <w:unhideWhenUsed/>
    <w:rsid w:val="00D8522A"/>
    <w:pPr>
      <w:spacing w:after="0"/>
    </w:pPr>
    <w:rPr>
      <w:sz w:val="16"/>
    </w:rPr>
  </w:style>
  <w:style w:type="character" w:customStyle="1" w:styleId="EndnoteTextChar">
    <w:name w:val="Endnote Text Char"/>
    <w:basedOn w:val="DefaultParagraphFont"/>
    <w:link w:val="EndnoteText"/>
    <w:uiPriority w:val="99"/>
    <w:semiHidden/>
    <w:rsid w:val="00D8522A"/>
    <w:rPr>
      <w:sz w:val="16"/>
      <w:lang w:val="en-CA"/>
    </w:rPr>
  </w:style>
  <w:style w:type="paragraph" w:styleId="EnvelopeAddress">
    <w:name w:val="envelope address"/>
    <w:basedOn w:val="Normal"/>
    <w:uiPriority w:val="99"/>
    <w:semiHidden/>
    <w:unhideWhenUsed/>
    <w:rsid w:val="00BF16D7"/>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F16D7"/>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F16D7"/>
    <w:rPr>
      <w:color w:val="800080" w:themeColor="followedHyperlink"/>
      <w:u w:val="single"/>
    </w:rPr>
  </w:style>
  <w:style w:type="paragraph" w:styleId="Footer">
    <w:name w:val="footer"/>
    <w:basedOn w:val="Normal"/>
    <w:link w:val="FooterChar"/>
    <w:uiPriority w:val="99"/>
    <w:unhideWhenUsed/>
    <w:rsid w:val="00D8522A"/>
    <w:pPr>
      <w:tabs>
        <w:tab w:val="center" w:pos="4680"/>
        <w:tab w:val="right" w:pos="9360"/>
      </w:tabs>
      <w:spacing w:after="0"/>
    </w:pPr>
  </w:style>
  <w:style w:type="character" w:customStyle="1" w:styleId="FooterChar">
    <w:name w:val="Footer Char"/>
    <w:basedOn w:val="DefaultParagraphFont"/>
    <w:link w:val="Footer"/>
    <w:uiPriority w:val="99"/>
    <w:rsid w:val="00D8522A"/>
    <w:rPr>
      <w:lang w:val="en-CA"/>
    </w:rPr>
  </w:style>
  <w:style w:type="character" w:styleId="FootnoteReference">
    <w:name w:val="footnote reference"/>
    <w:basedOn w:val="DefaultParagraphFont"/>
    <w:uiPriority w:val="99"/>
    <w:semiHidden/>
    <w:unhideWhenUsed/>
    <w:rsid w:val="00BF16D7"/>
    <w:rPr>
      <w:vertAlign w:val="superscript"/>
    </w:rPr>
  </w:style>
  <w:style w:type="paragraph" w:styleId="FootnoteText">
    <w:name w:val="footnote text"/>
    <w:basedOn w:val="Normal"/>
    <w:link w:val="FootnoteTextChar"/>
    <w:uiPriority w:val="99"/>
    <w:unhideWhenUsed/>
    <w:rsid w:val="00D8522A"/>
    <w:pPr>
      <w:spacing w:after="0"/>
    </w:pPr>
    <w:rPr>
      <w:sz w:val="16"/>
    </w:rPr>
  </w:style>
  <w:style w:type="character" w:customStyle="1" w:styleId="FootnoteTextChar">
    <w:name w:val="Footnote Text Char"/>
    <w:basedOn w:val="DefaultParagraphFont"/>
    <w:link w:val="FootnoteText"/>
    <w:uiPriority w:val="99"/>
    <w:rsid w:val="00D8522A"/>
    <w:rPr>
      <w:sz w:val="16"/>
      <w:lang w:val="en-CA"/>
    </w:rPr>
  </w:style>
  <w:style w:type="paragraph" w:styleId="Header">
    <w:name w:val="header"/>
    <w:basedOn w:val="Normal"/>
    <w:link w:val="HeaderChar"/>
    <w:uiPriority w:val="99"/>
    <w:unhideWhenUsed/>
    <w:rsid w:val="00D8522A"/>
    <w:pPr>
      <w:tabs>
        <w:tab w:val="center" w:pos="4680"/>
        <w:tab w:val="right" w:pos="9360"/>
      </w:tabs>
      <w:spacing w:after="0"/>
    </w:pPr>
  </w:style>
  <w:style w:type="character" w:customStyle="1" w:styleId="HeaderChar">
    <w:name w:val="Header Char"/>
    <w:basedOn w:val="DefaultParagraphFont"/>
    <w:link w:val="Header"/>
    <w:uiPriority w:val="99"/>
    <w:rsid w:val="00D8522A"/>
    <w:rPr>
      <w:lang w:val="en-CA"/>
    </w:rPr>
  </w:style>
  <w:style w:type="character" w:customStyle="1" w:styleId="Heading1Char">
    <w:name w:val="Heading 1 Char"/>
    <w:basedOn w:val="DefaultParagraphFont"/>
    <w:link w:val="Heading1"/>
    <w:rsid w:val="008852E1"/>
    <w:rPr>
      <w:rFonts w:eastAsiaTheme="majorEastAsia" w:cstheme="majorBidi"/>
      <w:bCs/>
      <w:szCs w:val="28"/>
      <w:lang w:val="en-CA"/>
    </w:rPr>
  </w:style>
  <w:style w:type="character" w:customStyle="1" w:styleId="Heading2Char">
    <w:name w:val="Heading 2 Char"/>
    <w:basedOn w:val="DefaultParagraphFont"/>
    <w:link w:val="Heading2"/>
    <w:rsid w:val="008852E1"/>
    <w:rPr>
      <w:rFonts w:eastAsiaTheme="majorEastAsia" w:cstheme="majorBidi"/>
      <w:bCs/>
      <w:szCs w:val="26"/>
      <w:lang w:val="en-CA"/>
    </w:rPr>
  </w:style>
  <w:style w:type="character" w:customStyle="1" w:styleId="Heading3Char">
    <w:name w:val="Heading 3 Char"/>
    <w:basedOn w:val="DefaultParagraphFont"/>
    <w:link w:val="Heading3"/>
    <w:semiHidden/>
    <w:rsid w:val="008852E1"/>
    <w:rPr>
      <w:rFonts w:eastAsiaTheme="majorEastAsia" w:cstheme="majorBidi"/>
      <w:bCs/>
      <w:lang w:val="en-CA"/>
    </w:rPr>
  </w:style>
  <w:style w:type="character" w:customStyle="1" w:styleId="Heading4Char">
    <w:name w:val="Heading 4 Char"/>
    <w:basedOn w:val="DefaultParagraphFont"/>
    <w:link w:val="Heading4"/>
    <w:semiHidden/>
    <w:rsid w:val="008852E1"/>
    <w:rPr>
      <w:rFonts w:eastAsiaTheme="majorEastAsia" w:cstheme="majorBidi"/>
      <w:bCs/>
      <w:iCs/>
      <w:lang w:val="en-CA"/>
    </w:rPr>
  </w:style>
  <w:style w:type="character" w:customStyle="1" w:styleId="Heading5Char">
    <w:name w:val="Heading 5 Char"/>
    <w:basedOn w:val="DefaultParagraphFont"/>
    <w:link w:val="Heading5"/>
    <w:semiHidden/>
    <w:rsid w:val="008852E1"/>
    <w:rPr>
      <w:rFonts w:eastAsiaTheme="majorEastAsia" w:cstheme="majorBidi"/>
      <w:lang w:val="en-CA"/>
    </w:rPr>
  </w:style>
  <w:style w:type="character" w:customStyle="1" w:styleId="Heading6Char">
    <w:name w:val="Heading 6 Char"/>
    <w:basedOn w:val="DefaultParagraphFont"/>
    <w:link w:val="Heading6"/>
    <w:semiHidden/>
    <w:rsid w:val="008852E1"/>
    <w:rPr>
      <w:rFonts w:eastAsiaTheme="majorEastAsia" w:cstheme="majorBidi"/>
      <w:iCs/>
      <w:lang w:val="en-CA"/>
    </w:rPr>
  </w:style>
  <w:style w:type="character" w:customStyle="1" w:styleId="Heading7Char">
    <w:name w:val="Heading 7 Char"/>
    <w:basedOn w:val="DefaultParagraphFont"/>
    <w:link w:val="Heading7"/>
    <w:semiHidden/>
    <w:rsid w:val="008852E1"/>
    <w:rPr>
      <w:rFonts w:eastAsiaTheme="majorEastAsia" w:cstheme="majorBidi"/>
      <w:iCs/>
      <w:lang w:val="en-CA"/>
    </w:rPr>
  </w:style>
  <w:style w:type="character" w:customStyle="1" w:styleId="Heading8Char">
    <w:name w:val="Heading 8 Char"/>
    <w:basedOn w:val="DefaultParagraphFont"/>
    <w:link w:val="Heading8"/>
    <w:semiHidden/>
    <w:rsid w:val="008852E1"/>
    <w:rPr>
      <w:rFonts w:eastAsiaTheme="majorEastAsia" w:cstheme="majorBidi"/>
      <w:lang w:val="en-CA"/>
    </w:rPr>
  </w:style>
  <w:style w:type="character" w:customStyle="1" w:styleId="Heading9Char">
    <w:name w:val="Heading 9 Char"/>
    <w:basedOn w:val="DefaultParagraphFont"/>
    <w:link w:val="Heading9"/>
    <w:semiHidden/>
    <w:rsid w:val="008852E1"/>
    <w:rPr>
      <w:rFonts w:eastAsiaTheme="majorEastAsia" w:cstheme="majorBidi"/>
      <w:iCs/>
      <w:lang w:val="en-CA"/>
    </w:rPr>
  </w:style>
  <w:style w:type="character" w:styleId="HTMLAcronym">
    <w:name w:val="HTML Acronym"/>
    <w:basedOn w:val="DefaultParagraphFont"/>
    <w:uiPriority w:val="99"/>
    <w:semiHidden/>
    <w:unhideWhenUsed/>
    <w:rsid w:val="00BF16D7"/>
  </w:style>
  <w:style w:type="paragraph" w:styleId="HTMLAddress">
    <w:name w:val="HTML Address"/>
    <w:basedOn w:val="Normal"/>
    <w:link w:val="HTMLAddressChar"/>
    <w:uiPriority w:val="99"/>
    <w:semiHidden/>
    <w:unhideWhenUsed/>
    <w:rsid w:val="00BF16D7"/>
    <w:pPr>
      <w:spacing w:after="0"/>
    </w:pPr>
    <w:rPr>
      <w:i/>
      <w:iCs/>
    </w:rPr>
  </w:style>
  <w:style w:type="character" w:customStyle="1" w:styleId="HTMLAddressChar">
    <w:name w:val="HTML Address Char"/>
    <w:basedOn w:val="DefaultParagraphFont"/>
    <w:link w:val="HTMLAddress"/>
    <w:uiPriority w:val="99"/>
    <w:semiHidden/>
    <w:rsid w:val="00BF16D7"/>
    <w:rPr>
      <w:i/>
      <w:iCs/>
      <w:lang w:val="en-CA"/>
    </w:rPr>
  </w:style>
  <w:style w:type="character" w:styleId="HTMLCite">
    <w:name w:val="HTML Cite"/>
    <w:basedOn w:val="DefaultParagraphFont"/>
    <w:uiPriority w:val="99"/>
    <w:semiHidden/>
    <w:unhideWhenUsed/>
    <w:rsid w:val="00BF16D7"/>
    <w:rPr>
      <w:i/>
      <w:iCs/>
    </w:rPr>
  </w:style>
  <w:style w:type="character" w:styleId="HTMLCode">
    <w:name w:val="HTML Code"/>
    <w:basedOn w:val="DefaultParagraphFont"/>
    <w:uiPriority w:val="99"/>
    <w:semiHidden/>
    <w:unhideWhenUsed/>
    <w:rsid w:val="00BF16D7"/>
    <w:rPr>
      <w:rFonts w:ascii="Consolas" w:hAnsi="Consolas"/>
      <w:sz w:val="20"/>
      <w:szCs w:val="20"/>
    </w:rPr>
  </w:style>
  <w:style w:type="character" w:styleId="HTMLDefinition">
    <w:name w:val="HTML Definition"/>
    <w:basedOn w:val="DefaultParagraphFont"/>
    <w:uiPriority w:val="99"/>
    <w:semiHidden/>
    <w:unhideWhenUsed/>
    <w:rsid w:val="00BF16D7"/>
    <w:rPr>
      <w:i/>
      <w:iCs/>
    </w:rPr>
  </w:style>
  <w:style w:type="character" w:styleId="HTMLKeyboard">
    <w:name w:val="HTML Keyboard"/>
    <w:basedOn w:val="DefaultParagraphFont"/>
    <w:uiPriority w:val="99"/>
    <w:semiHidden/>
    <w:unhideWhenUsed/>
    <w:rsid w:val="00BF16D7"/>
    <w:rPr>
      <w:rFonts w:ascii="Consolas" w:hAnsi="Consolas"/>
      <w:sz w:val="20"/>
      <w:szCs w:val="20"/>
    </w:rPr>
  </w:style>
  <w:style w:type="paragraph" w:styleId="HTMLPreformatted">
    <w:name w:val="HTML Preformatted"/>
    <w:basedOn w:val="Normal"/>
    <w:link w:val="HTMLPreformattedChar"/>
    <w:uiPriority w:val="99"/>
    <w:semiHidden/>
    <w:unhideWhenUsed/>
    <w:rsid w:val="00BF16D7"/>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BF16D7"/>
    <w:rPr>
      <w:rFonts w:ascii="Consolas" w:hAnsi="Consolas"/>
      <w:lang w:val="en-CA"/>
    </w:rPr>
  </w:style>
  <w:style w:type="character" w:styleId="HTMLSample">
    <w:name w:val="HTML Sample"/>
    <w:basedOn w:val="DefaultParagraphFont"/>
    <w:uiPriority w:val="99"/>
    <w:semiHidden/>
    <w:unhideWhenUsed/>
    <w:rsid w:val="00BF16D7"/>
    <w:rPr>
      <w:rFonts w:ascii="Consolas" w:hAnsi="Consolas"/>
      <w:sz w:val="24"/>
      <w:szCs w:val="24"/>
    </w:rPr>
  </w:style>
  <w:style w:type="character" w:styleId="HTMLTypewriter">
    <w:name w:val="HTML Typewriter"/>
    <w:basedOn w:val="DefaultParagraphFont"/>
    <w:uiPriority w:val="99"/>
    <w:semiHidden/>
    <w:unhideWhenUsed/>
    <w:rsid w:val="00BF16D7"/>
    <w:rPr>
      <w:rFonts w:ascii="Consolas" w:hAnsi="Consolas"/>
      <w:sz w:val="20"/>
      <w:szCs w:val="20"/>
    </w:rPr>
  </w:style>
  <w:style w:type="character" w:styleId="HTMLVariable">
    <w:name w:val="HTML Variable"/>
    <w:basedOn w:val="DefaultParagraphFont"/>
    <w:uiPriority w:val="99"/>
    <w:semiHidden/>
    <w:unhideWhenUsed/>
    <w:rsid w:val="00BF16D7"/>
    <w:rPr>
      <w:i/>
      <w:iCs/>
    </w:rPr>
  </w:style>
  <w:style w:type="character" w:styleId="Hyperlink">
    <w:name w:val="Hyperlink"/>
    <w:basedOn w:val="DefaultParagraphFont"/>
    <w:uiPriority w:val="99"/>
    <w:unhideWhenUsed/>
    <w:rsid w:val="00BF16D7"/>
    <w:rPr>
      <w:color w:val="0000FF" w:themeColor="hyperlink"/>
      <w:u w:val="single"/>
    </w:rPr>
  </w:style>
  <w:style w:type="paragraph" w:styleId="Index1">
    <w:name w:val="index 1"/>
    <w:basedOn w:val="Normal"/>
    <w:next w:val="Normal"/>
    <w:autoRedefine/>
    <w:uiPriority w:val="99"/>
    <w:semiHidden/>
    <w:unhideWhenUsed/>
    <w:rsid w:val="00BF16D7"/>
    <w:pPr>
      <w:spacing w:after="0"/>
      <w:ind w:left="220" w:hanging="220"/>
    </w:pPr>
  </w:style>
  <w:style w:type="paragraph" w:styleId="Index2">
    <w:name w:val="index 2"/>
    <w:basedOn w:val="Normal"/>
    <w:next w:val="Normal"/>
    <w:autoRedefine/>
    <w:uiPriority w:val="99"/>
    <w:semiHidden/>
    <w:unhideWhenUsed/>
    <w:rsid w:val="00BF16D7"/>
    <w:pPr>
      <w:spacing w:after="0"/>
      <w:ind w:left="440" w:hanging="220"/>
    </w:pPr>
  </w:style>
  <w:style w:type="paragraph" w:styleId="Index3">
    <w:name w:val="index 3"/>
    <w:basedOn w:val="Normal"/>
    <w:next w:val="Normal"/>
    <w:autoRedefine/>
    <w:uiPriority w:val="99"/>
    <w:semiHidden/>
    <w:unhideWhenUsed/>
    <w:rsid w:val="00BF16D7"/>
    <w:pPr>
      <w:spacing w:after="0"/>
      <w:ind w:left="660" w:hanging="220"/>
    </w:pPr>
  </w:style>
  <w:style w:type="paragraph" w:styleId="Index4">
    <w:name w:val="index 4"/>
    <w:basedOn w:val="Normal"/>
    <w:next w:val="Normal"/>
    <w:autoRedefine/>
    <w:uiPriority w:val="99"/>
    <w:semiHidden/>
    <w:unhideWhenUsed/>
    <w:rsid w:val="00BF16D7"/>
    <w:pPr>
      <w:spacing w:after="0"/>
      <w:ind w:left="880" w:hanging="220"/>
    </w:pPr>
  </w:style>
  <w:style w:type="paragraph" w:styleId="Index5">
    <w:name w:val="index 5"/>
    <w:basedOn w:val="Normal"/>
    <w:next w:val="Normal"/>
    <w:autoRedefine/>
    <w:uiPriority w:val="99"/>
    <w:semiHidden/>
    <w:unhideWhenUsed/>
    <w:rsid w:val="00BF16D7"/>
    <w:pPr>
      <w:spacing w:after="0"/>
      <w:ind w:left="1100" w:hanging="220"/>
    </w:pPr>
  </w:style>
  <w:style w:type="paragraph" w:styleId="Index6">
    <w:name w:val="index 6"/>
    <w:basedOn w:val="Normal"/>
    <w:next w:val="Normal"/>
    <w:autoRedefine/>
    <w:uiPriority w:val="99"/>
    <w:semiHidden/>
    <w:unhideWhenUsed/>
    <w:rsid w:val="00BF16D7"/>
    <w:pPr>
      <w:spacing w:after="0"/>
      <w:ind w:left="1320" w:hanging="220"/>
    </w:pPr>
  </w:style>
  <w:style w:type="paragraph" w:styleId="Index7">
    <w:name w:val="index 7"/>
    <w:basedOn w:val="Normal"/>
    <w:next w:val="Normal"/>
    <w:autoRedefine/>
    <w:uiPriority w:val="99"/>
    <w:semiHidden/>
    <w:unhideWhenUsed/>
    <w:rsid w:val="00BF16D7"/>
    <w:pPr>
      <w:spacing w:after="0"/>
      <w:ind w:left="1540" w:hanging="220"/>
    </w:pPr>
  </w:style>
  <w:style w:type="paragraph" w:styleId="Index8">
    <w:name w:val="index 8"/>
    <w:basedOn w:val="Normal"/>
    <w:next w:val="Normal"/>
    <w:autoRedefine/>
    <w:uiPriority w:val="99"/>
    <w:semiHidden/>
    <w:unhideWhenUsed/>
    <w:rsid w:val="00BF16D7"/>
    <w:pPr>
      <w:spacing w:after="0"/>
      <w:ind w:left="1760" w:hanging="220"/>
    </w:pPr>
  </w:style>
  <w:style w:type="paragraph" w:styleId="Index9">
    <w:name w:val="index 9"/>
    <w:basedOn w:val="Normal"/>
    <w:next w:val="Normal"/>
    <w:autoRedefine/>
    <w:uiPriority w:val="99"/>
    <w:semiHidden/>
    <w:unhideWhenUsed/>
    <w:rsid w:val="00BF16D7"/>
    <w:pPr>
      <w:spacing w:after="0"/>
      <w:ind w:left="1980" w:hanging="220"/>
    </w:pPr>
  </w:style>
  <w:style w:type="paragraph" w:styleId="IndexHeading">
    <w:name w:val="index heading"/>
    <w:basedOn w:val="Normal"/>
    <w:next w:val="Index1"/>
    <w:uiPriority w:val="99"/>
    <w:semiHidden/>
    <w:unhideWhenUsed/>
    <w:rsid w:val="00BF16D7"/>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BF16D7"/>
    <w:rPr>
      <w:b/>
      <w:bCs/>
      <w:i/>
      <w:iCs/>
      <w:color w:val="4F81BD" w:themeColor="accent1"/>
    </w:rPr>
  </w:style>
  <w:style w:type="paragraph" w:styleId="IntenseQuote">
    <w:name w:val="Intense Quote"/>
    <w:basedOn w:val="Normal"/>
    <w:next w:val="Normal"/>
    <w:link w:val="IntenseQuoteChar"/>
    <w:uiPriority w:val="99"/>
    <w:semiHidden/>
    <w:qFormat/>
    <w:rsid w:val="00BF16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BF16D7"/>
    <w:rPr>
      <w:b/>
      <w:bCs/>
      <w:i/>
      <w:iCs/>
      <w:color w:val="4F81BD" w:themeColor="accent1"/>
      <w:lang w:val="en-CA"/>
    </w:rPr>
  </w:style>
  <w:style w:type="character" w:styleId="IntenseReference">
    <w:name w:val="Intense Reference"/>
    <w:basedOn w:val="DefaultParagraphFont"/>
    <w:uiPriority w:val="99"/>
    <w:semiHidden/>
    <w:qFormat/>
    <w:rsid w:val="00BF16D7"/>
    <w:rPr>
      <w:b/>
      <w:bCs/>
      <w:smallCaps/>
      <w:color w:val="C0504D" w:themeColor="accent2"/>
      <w:spacing w:val="5"/>
      <w:u w:val="single"/>
    </w:rPr>
  </w:style>
  <w:style w:type="character" w:styleId="LineNumber">
    <w:name w:val="line number"/>
    <w:basedOn w:val="DefaultParagraphFont"/>
    <w:uiPriority w:val="99"/>
    <w:semiHidden/>
    <w:unhideWhenUsed/>
    <w:rsid w:val="00BF16D7"/>
  </w:style>
  <w:style w:type="paragraph" w:styleId="MacroText">
    <w:name w:val="macro"/>
    <w:link w:val="MacroTextChar"/>
    <w:uiPriority w:val="99"/>
    <w:semiHidden/>
    <w:unhideWhenUsed/>
    <w:rsid w:val="00BF16D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lang w:val="en-CA"/>
    </w:rPr>
  </w:style>
  <w:style w:type="character" w:customStyle="1" w:styleId="MacroTextChar">
    <w:name w:val="Macro Text Char"/>
    <w:basedOn w:val="DefaultParagraphFont"/>
    <w:link w:val="MacroText"/>
    <w:uiPriority w:val="99"/>
    <w:semiHidden/>
    <w:rsid w:val="00BF16D7"/>
    <w:rPr>
      <w:rFonts w:ascii="Consolas" w:hAnsi="Consolas"/>
      <w:lang w:val="en-CA"/>
    </w:rPr>
  </w:style>
  <w:style w:type="paragraph" w:styleId="MessageHeader">
    <w:name w:val="Message Header"/>
    <w:basedOn w:val="Normal"/>
    <w:link w:val="MessageHeaderChar"/>
    <w:uiPriority w:val="99"/>
    <w:semiHidden/>
    <w:unhideWhenUsed/>
    <w:rsid w:val="00BF16D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F16D7"/>
    <w:rPr>
      <w:rFonts w:asciiTheme="majorHAnsi" w:eastAsiaTheme="majorEastAsia" w:hAnsiTheme="majorHAnsi" w:cstheme="majorBidi"/>
      <w:sz w:val="24"/>
      <w:szCs w:val="24"/>
      <w:shd w:val="pct20" w:color="auto" w:fill="auto"/>
      <w:lang w:val="en-CA"/>
    </w:rPr>
  </w:style>
  <w:style w:type="paragraph" w:styleId="NoSpacing">
    <w:name w:val="No Spacing"/>
    <w:uiPriority w:val="99"/>
    <w:semiHidden/>
    <w:qFormat/>
    <w:rsid w:val="00BF16D7"/>
    <w:pPr>
      <w:spacing w:after="0"/>
    </w:pPr>
    <w:rPr>
      <w:lang w:val="en-CA"/>
    </w:rPr>
  </w:style>
  <w:style w:type="paragraph" w:styleId="NormalWeb">
    <w:name w:val="Normal (Web)"/>
    <w:basedOn w:val="Normal"/>
    <w:uiPriority w:val="99"/>
    <w:semiHidden/>
    <w:unhideWhenUsed/>
    <w:rsid w:val="00BF16D7"/>
    <w:rPr>
      <w:rFonts w:cs="Times New Roman"/>
    </w:rPr>
  </w:style>
  <w:style w:type="paragraph" w:styleId="NormalIndent">
    <w:name w:val="Normal Indent"/>
    <w:basedOn w:val="Normal"/>
    <w:uiPriority w:val="99"/>
    <w:semiHidden/>
    <w:unhideWhenUsed/>
    <w:rsid w:val="00BF16D7"/>
    <w:pPr>
      <w:ind w:left="720"/>
    </w:pPr>
  </w:style>
  <w:style w:type="paragraph" w:styleId="NoteHeading">
    <w:name w:val="Note Heading"/>
    <w:basedOn w:val="Normal"/>
    <w:next w:val="Normal"/>
    <w:link w:val="NoteHeadingChar"/>
    <w:uiPriority w:val="99"/>
    <w:semiHidden/>
    <w:unhideWhenUsed/>
    <w:rsid w:val="00BF16D7"/>
    <w:pPr>
      <w:spacing w:after="0"/>
    </w:pPr>
  </w:style>
  <w:style w:type="character" w:customStyle="1" w:styleId="NoteHeadingChar">
    <w:name w:val="Note Heading Char"/>
    <w:basedOn w:val="DefaultParagraphFont"/>
    <w:link w:val="NoteHeading"/>
    <w:uiPriority w:val="99"/>
    <w:semiHidden/>
    <w:rsid w:val="00BF16D7"/>
    <w:rPr>
      <w:lang w:val="en-CA"/>
    </w:rPr>
  </w:style>
  <w:style w:type="character" w:styleId="PageNumber">
    <w:name w:val="page number"/>
    <w:basedOn w:val="DefaultParagraphFont"/>
    <w:uiPriority w:val="99"/>
    <w:semiHidden/>
    <w:unhideWhenUsed/>
    <w:rsid w:val="00BF16D7"/>
  </w:style>
  <w:style w:type="character" w:styleId="PlaceholderText">
    <w:name w:val="Placeholder Text"/>
    <w:basedOn w:val="DefaultParagraphFont"/>
    <w:uiPriority w:val="99"/>
    <w:semiHidden/>
    <w:rsid w:val="00BF16D7"/>
    <w:rPr>
      <w:color w:val="808080"/>
    </w:rPr>
  </w:style>
  <w:style w:type="paragraph" w:styleId="PlainText">
    <w:name w:val="Plain Text"/>
    <w:basedOn w:val="Normal"/>
    <w:link w:val="PlainTextChar"/>
    <w:uiPriority w:val="99"/>
    <w:semiHidden/>
    <w:unhideWhenUsed/>
    <w:rsid w:val="00BF16D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F16D7"/>
    <w:rPr>
      <w:rFonts w:ascii="Consolas" w:hAnsi="Consolas"/>
      <w:sz w:val="21"/>
      <w:szCs w:val="21"/>
      <w:lang w:val="en-CA"/>
    </w:rPr>
  </w:style>
  <w:style w:type="paragraph" w:styleId="Quote">
    <w:name w:val="Quote"/>
    <w:basedOn w:val="Normal"/>
    <w:next w:val="Normal"/>
    <w:link w:val="QuoteChar"/>
    <w:uiPriority w:val="99"/>
    <w:semiHidden/>
    <w:qFormat/>
    <w:rsid w:val="00BF16D7"/>
    <w:rPr>
      <w:i/>
      <w:iCs/>
      <w:color w:val="000000" w:themeColor="text1"/>
    </w:rPr>
  </w:style>
  <w:style w:type="character" w:customStyle="1" w:styleId="QuoteChar">
    <w:name w:val="Quote Char"/>
    <w:basedOn w:val="DefaultParagraphFont"/>
    <w:link w:val="Quote"/>
    <w:uiPriority w:val="99"/>
    <w:semiHidden/>
    <w:rsid w:val="00BF16D7"/>
    <w:rPr>
      <w:i/>
      <w:iCs/>
      <w:color w:val="000000" w:themeColor="text1"/>
      <w:lang w:val="en-CA"/>
    </w:rPr>
  </w:style>
  <w:style w:type="paragraph" w:styleId="Salutation">
    <w:name w:val="Salutation"/>
    <w:basedOn w:val="Normal"/>
    <w:next w:val="Normal"/>
    <w:link w:val="SalutationChar"/>
    <w:uiPriority w:val="99"/>
    <w:semiHidden/>
    <w:unhideWhenUsed/>
    <w:rsid w:val="00BF16D7"/>
  </w:style>
  <w:style w:type="character" w:customStyle="1" w:styleId="SalutationChar">
    <w:name w:val="Salutation Char"/>
    <w:basedOn w:val="DefaultParagraphFont"/>
    <w:link w:val="Salutation"/>
    <w:uiPriority w:val="99"/>
    <w:semiHidden/>
    <w:rsid w:val="00BF16D7"/>
    <w:rPr>
      <w:lang w:val="en-CA"/>
    </w:rPr>
  </w:style>
  <w:style w:type="paragraph" w:styleId="Signature">
    <w:name w:val="Signature"/>
    <w:basedOn w:val="Normal"/>
    <w:link w:val="SignatureChar"/>
    <w:uiPriority w:val="99"/>
    <w:semiHidden/>
    <w:unhideWhenUsed/>
    <w:rsid w:val="009668DA"/>
    <w:pPr>
      <w:spacing w:after="0"/>
      <w:ind w:left="4320"/>
    </w:pPr>
  </w:style>
  <w:style w:type="character" w:customStyle="1" w:styleId="SignatureChar">
    <w:name w:val="Signature Char"/>
    <w:basedOn w:val="DefaultParagraphFont"/>
    <w:link w:val="Signature"/>
    <w:uiPriority w:val="99"/>
    <w:semiHidden/>
    <w:rsid w:val="009668DA"/>
    <w:rPr>
      <w:lang w:val="en-CA"/>
    </w:rPr>
  </w:style>
  <w:style w:type="character" w:styleId="Strong">
    <w:name w:val="Strong"/>
    <w:basedOn w:val="DefaultParagraphFont"/>
    <w:uiPriority w:val="99"/>
    <w:semiHidden/>
    <w:qFormat/>
    <w:rsid w:val="00BF16D7"/>
    <w:rPr>
      <w:b/>
      <w:bCs/>
    </w:rPr>
  </w:style>
  <w:style w:type="paragraph" w:styleId="Subtitle">
    <w:name w:val="Subtitle"/>
    <w:basedOn w:val="Normal"/>
    <w:next w:val="Normal"/>
    <w:link w:val="SubtitleChar"/>
    <w:uiPriority w:val="99"/>
    <w:semiHidden/>
    <w:qFormat/>
    <w:rsid w:val="00BF16D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9"/>
    <w:semiHidden/>
    <w:rsid w:val="00BF16D7"/>
    <w:rPr>
      <w:rFonts w:asciiTheme="majorHAnsi" w:eastAsiaTheme="majorEastAsia" w:hAnsiTheme="majorHAnsi" w:cstheme="majorBidi"/>
      <w:i/>
      <w:iCs/>
      <w:color w:val="4F81BD" w:themeColor="accent1"/>
      <w:spacing w:val="15"/>
      <w:sz w:val="24"/>
      <w:szCs w:val="24"/>
      <w:lang w:val="en-CA"/>
    </w:rPr>
  </w:style>
  <w:style w:type="character" w:styleId="SubtleEmphasis">
    <w:name w:val="Subtle Emphasis"/>
    <w:basedOn w:val="DefaultParagraphFont"/>
    <w:uiPriority w:val="99"/>
    <w:semiHidden/>
    <w:qFormat/>
    <w:rsid w:val="00BF16D7"/>
    <w:rPr>
      <w:i/>
      <w:iCs/>
      <w:color w:val="808080" w:themeColor="text1" w:themeTint="7F"/>
    </w:rPr>
  </w:style>
  <w:style w:type="character" w:styleId="SubtleReference">
    <w:name w:val="Subtle Reference"/>
    <w:basedOn w:val="DefaultParagraphFont"/>
    <w:uiPriority w:val="99"/>
    <w:semiHidden/>
    <w:qFormat/>
    <w:rsid w:val="00BF16D7"/>
    <w:rPr>
      <w:smallCaps/>
      <w:color w:val="C0504D" w:themeColor="accent2"/>
      <w:u w:val="single"/>
    </w:rPr>
  </w:style>
  <w:style w:type="paragraph" w:styleId="TableofAuthorities">
    <w:name w:val="table of authorities"/>
    <w:basedOn w:val="Normal"/>
    <w:next w:val="Normal"/>
    <w:uiPriority w:val="99"/>
    <w:semiHidden/>
    <w:unhideWhenUsed/>
    <w:rsid w:val="00BF16D7"/>
    <w:pPr>
      <w:spacing w:after="0"/>
      <w:ind w:left="220" w:hanging="220"/>
    </w:pPr>
  </w:style>
  <w:style w:type="paragraph" w:styleId="TableofFigures">
    <w:name w:val="table of figures"/>
    <w:basedOn w:val="Normal"/>
    <w:next w:val="Normal"/>
    <w:uiPriority w:val="99"/>
    <w:semiHidden/>
    <w:unhideWhenUsed/>
    <w:rsid w:val="00BF16D7"/>
    <w:pPr>
      <w:spacing w:after="0"/>
    </w:pPr>
  </w:style>
  <w:style w:type="paragraph" w:styleId="Title">
    <w:name w:val="Title"/>
    <w:basedOn w:val="Normal"/>
    <w:next w:val="Normal"/>
    <w:link w:val="TitleChar"/>
    <w:uiPriority w:val="99"/>
    <w:semiHidden/>
    <w:qFormat/>
    <w:rsid w:val="00BF16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BF16D7"/>
    <w:rPr>
      <w:rFonts w:asciiTheme="majorHAnsi" w:eastAsiaTheme="majorEastAsia" w:hAnsiTheme="majorHAnsi" w:cstheme="majorBidi"/>
      <w:color w:val="17365D" w:themeColor="text2" w:themeShade="BF"/>
      <w:spacing w:val="5"/>
      <w:kern w:val="28"/>
      <w:sz w:val="52"/>
      <w:szCs w:val="52"/>
      <w:lang w:val="en-CA"/>
    </w:rPr>
  </w:style>
  <w:style w:type="paragraph" w:styleId="TOAHeading">
    <w:name w:val="toa heading"/>
    <w:basedOn w:val="Normal"/>
    <w:next w:val="Normal"/>
    <w:uiPriority w:val="99"/>
    <w:semiHidden/>
    <w:unhideWhenUsed/>
    <w:rsid w:val="00BF16D7"/>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F16D7"/>
    <w:pPr>
      <w:spacing w:after="100"/>
    </w:pPr>
  </w:style>
  <w:style w:type="paragraph" w:styleId="TOC2">
    <w:name w:val="toc 2"/>
    <w:basedOn w:val="Normal"/>
    <w:next w:val="Normal"/>
    <w:autoRedefine/>
    <w:uiPriority w:val="39"/>
    <w:semiHidden/>
    <w:unhideWhenUsed/>
    <w:rsid w:val="00BF16D7"/>
    <w:pPr>
      <w:spacing w:after="100"/>
      <w:ind w:left="220"/>
    </w:pPr>
  </w:style>
  <w:style w:type="paragraph" w:styleId="TOC3">
    <w:name w:val="toc 3"/>
    <w:basedOn w:val="Normal"/>
    <w:next w:val="Normal"/>
    <w:autoRedefine/>
    <w:uiPriority w:val="39"/>
    <w:semiHidden/>
    <w:unhideWhenUsed/>
    <w:rsid w:val="00BF16D7"/>
    <w:pPr>
      <w:spacing w:after="100"/>
      <w:ind w:left="440"/>
    </w:pPr>
  </w:style>
  <w:style w:type="paragraph" w:styleId="TOC4">
    <w:name w:val="toc 4"/>
    <w:basedOn w:val="Normal"/>
    <w:next w:val="Normal"/>
    <w:autoRedefine/>
    <w:uiPriority w:val="39"/>
    <w:semiHidden/>
    <w:unhideWhenUsed/>
    <w:rsid w:val="00BF16D7"/>
    <w:pPr>
      <w:spacing w:after="100"/>
      <w:ind w:left="660"/>
    </w:pPr>
  </w:style>
  <w:style w:type="paragraph" w:styleId="TOC5">
    <w:name w:val="toc 5"/>
    <w:basedOn w:val="Normal"/>
    <w:next w:val="Normal"/>
    <w:autoRedefine/>
    <w:uiPriority w:val="39"/>
    <w:semiHidden/>
    <w:unhideWhenUsed/>
    <w:rsid w:val="00BF16D7"/>
    <w:pPr>
      <w:spacing w:after="100"/>
      <w:ind w:left="880"/>
    </w:pPr>
  </w:style>
  <w:style w:type="paragraph" w:styleId="TOC6">
    <w:name w:val="toc 6"/>
    <w:basedOn w:val="Normal"/>
    <w:next w:val="Normal"/>
    <w:autoRedefine/>
    <w:uiPriority w:val="39"/>
    <w:semiHidden/>
    <w:unhideWhenUsed/>
    <w:rsid w:val="00BF16D7"/>
    <w:pPr>
      <w:spacing w:after="100"/>
      <w:ind w:left="1100"/>
    </w:pPr>
  </w:style>
  <w:style w:type="paragraph" w:styleId="TOC7">
    <w:name w:val="toc 7"/>
    <w:basedOn w:val="Normal"/>
    <w:next w:val="Normal"/>
    <w:autoRedefine/>
    <w:uiPriority w:val="39"/>
    <w:semiHidden/>
    <w:unhideWhenUsed/>
    <w:rsid w:val="00BF16D7"/>
    <w:pPr>
      <w:spacing w:after="100"/>
      <w:ind w:left="1320"/>
    </w:pPr>
  </w:style>
  <w:style w:type="paragraph" w:styleId="TOC8">
    <w:name w:val="toc 8"/>
    <w:basedOn w:val="Normal"/>
    <w:next w:val="Normal"/>
    <w:autoRedefine/>
    <w:uiPriority w:val="39"/>
    <w:semiHidden/>
    <w:unhideWhenUsed/>
    <w:rsid w:val="00BF16D7"/>
    <w:pPr>
      <w:spacing w:after="100"/>
      <w:ind w:left="1540"/>
    </w:pPr>
  </w:style>
  <w:style w:type="paragraph" w:styleId="TOC9">
    <w:name w:val="toc 9"/>
    <w:basedOn w:val="Normal"/>
    <w:next w:val="Normal"/>
    <w:autoRedefine/>
    <w:uiPriority w:val="39"/>
    <w:semiHidden/>
    <w:unhideWhenUsed/>
    <w:rsid w:val="00BF16D7"/>
    <w:pPr>
      <w:spacing w:after="100"/>
      <w:ind w:left="1760"/>
    </w:pPr>
  </w:style>
  <w:style w:type="paragraph" w:styleId="TOCHeading">
    <w:name w:val="TOC Heading"/>
    <w:basedOn w:val="Heading1"/>
    <w:next w:val="Normal"/>
    <w:uiPriority w:val="39"/>
    <w:semiHidden/>
    <w:unhideWhenUsed/>
    <w:qFormat/>
    <w:rsid w:val="00BF16D7"/>
    <w:pPr>
      <w:numPr>
        <w:numId w:val="0"/>
      </w:numPr>
      <w:outlineLvl w:val="9"/>
    </w:pPr>
  </w:style>
  <w:style w:type="paragraph" w:customStyle="1" w:styleId="ONEBodyText">
    <w:name w:val="ONE Body Text"/>
    <w:basedOn w:val="Normal"/>
    <w:qFormat/>
    <w:rsid w:val="00BF16D7"/>
  </w:style>
  <w:style w:type="paragraph" w:customStyle="1" w:styleId="ONEBulletL1">
    <w:name w:val="ONE Bullet L1"/>
    <w:basedOn w:val="Normal"/>
    <w:qFormat/>
    <w:rsid w:val="00BF16D7"/>
    <w:pPr>
      <w:numPr>
        <w:numId w:val="15"/>
      </w:numPr>
    </w:pPr>
  </w:style>
  <w:style w:type="paragraph" w:customStyle="1" w:styleId="ONEBulletL2">
    <w:name w:val="ONE Bullet L2"/>
    <w:basedOn w:val="Normal"/>
    <w:qFormat/>
    <w:rsid w:val="00BF16D7"/>
    <w:pPr>
      <w:numPr>
        <w:ilvl w:val="1"/>
        <w:numId w:val="15"/>
      </w:numPr>
    </w:pPr>
  </w:style>
  <w:style w:type="paragraph" w:customStyle="1" w:styleId="ONEBulletL3">
    <w:name w:val="ONE Bullet L3"/>
    <w:basedOn w:val="Normal"/>
    <w:qFormat/>
    <w:rsid w:val="00BF16D7"/>
    <w:pPr>
      <w:numPr>
        <w:ilvl w:val="2"/>
        <w:numId w:val="15"/>
      </w:numPr>
    </w:pPr>
  </w:style>
  <w:style w:type="paragraph" w:customStyle="1" w:styleId="ONELine">
    <w:name w:val="ONE Line"/>
    <w:basedOn w:val="Normal"/>
    <w:qFormat/>
    <w:rsid w:val="00BF16D7"/>
    <w:pPr>
      <w:spacing w:before="120" w:after="480"/>
    </w:pPr>
  </w:style>
  <w:style w:type="paragraph" w:customStyle="1" w:styleId="ONEPlain">
    <w:name w:val="ONE Plain"/>
    <w:basedOn w:val="Normal"/>
    <w:qFormat/>
    <w:rsid w:val="00BF16D7"/>
    <w:pPr>
      <w:spacing w:after="0"/>
    </w:pPr>
  </w:style>
  <w:style w:type="paragraph" w:customStyle="1" w:styleId="ONEQuote">
    <w:name w:val="ONE Quote"/>
    <w:basedOn w:val="Normal"/>
    <w:qFormat/>
    <w:rsid w:val="00BF16D7"/>
    <w:pPr>
      <w:ind w:left="1440" w:right="1440"/>
      <w:jc w:val="both"/>
    </w:pPr>
  </w:style>
  <w:style w:type="paragraph" w:customStyle="1" w:styleId="ONEScheduleTitle">
    <w:name w:val="ONE Schedule Title"/>
    <w:basedOn w:val="Normal"/>
    <w:qFormat/>
    <w:rsid w:val="00BF16D7"/>
    <w:pPr>
      <w:jc w:val="center"/>
    </w:pPr>
    <w:rPr>
      <w:b/>
    </w:rPr>
  </w:style>
  <w:style w:type="paragraph" w:customStyle="1" w:styleId="ONENumberCont1">
    <w:name w:val="ONE Number Cont. 1"/>
    <w:basedOn w:val="Normal"/>
    <w:qFormat/>
    <w:rsid w:val="00BF16D7"/>
    <w:pPr>
      <w:ind w:left="720"/>
    </w:pPr>
  </w:style>
  <w:style w:type="paragraph" w:customStyle="1" w:styleId="ONENumberCont2">
    <w:name w:val="ONE Number Cont. 2"/>
    <w:basedOn w:val="Normal"/>
    <w:qFormat/>
    <w:rsid w:val="00BF16D7"/>
    <w:pPr>
      <w:ind w:left="1440"/>
    </w:pPr>
  </w:style>
  <w:style w:type="paragraph" w:customStyle="1" w:styleId="ONENumberCont3">
    <w:name w:val="ONE Number Cont. 3"/>
    <w:basedOn w:val="Normal"/>
    <w:qFormat/>
    <w:rsid w:val="00BF16D7"/>
    <w:pPr>
      <w:ind w:left="2160"/>
    </w:pPr>
  </w:style>
  <w:style w:type="paragraph" w:customStyle="1" w:styleId="ONENumberCont4">
    <w:name w:val="ONE Number Cont. 4"/>
    <w:basedOn w:val="Normal"/>
    <w:qFormat/>
    <w:rsid w:val="00BF16D7"/>
    <w:pPr>
      <w:ind w:left="2880"/>
    </w:pPr>
  </w:style>
  <w:style w:type="paragraph" w:customStyle="1" w:styleId="ONENumberCont5">
    <w:name w:val="ONE Number Cont. 5"/>
    <w:basedOn w:val="Normal"/>
    <w:qFormat/>
    <w:rsid w:val="00BF16D7"/>
    <w:pPr>
      <w:ind w:left="3600"/>
    </w:pPr>
  </w:style>
  <w:style w:type="character" w:customStyle="1" w:styleId="DocID">
    <w:name w:val="DocID"/>
    <w:basedOn w:val="DefaultParagraphFont"/>
    <w:uiPriority w:val="99"/>
    <w:semiHidden/>
    <w:rsid w:val="00631131"/>
    <w:rPr>
      <w:rFonts w:ascii="Verdana" w:hAnsi="Verdana"/>
      <w:sz w:val="14"/>
    </w:rPr>
  </w:style>
  <w:style w:type="paragraph" w:styleId="ListParagraph">
    <w:name w:val="List Paragraph"/>
    <w:basedOn w:val="Normal"/>
    <w:uiPriority w:val="34"/>
    <w:rsid w:val="00CD1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31439">
      <w:bodyDiv w:val="1"/>
      <w:marLeft w:val="0"/>
      <w:marRight w:val="0"/>
      <w:marTop w:val="0"/>
      <w:marBottom w:val="0"/>
      <w:divBdr>
        <w:top w:val="none" w:sz="0" w:space="0" w:color="auto"/>
        <w:left w:val="none" w:sz="0" w:space="0" w:color="auto"/>
        <w:bottom w:val="none" w:sz="0" w:space="0" w:color="auto"/>
        <w:right w:val="none" w:sz="0" w:space="0" w:color="auto"/>
      </w:divBdr>
    </w:div>
    <w:div w:id="219053482">
      <w:bodyDiv w:val="1"/>
      <w:marLeft w:val="0"/>
      <w:marRight w:val="0"/>
      <w:marTop w:val="0"/>
      <w:marBottom w:val="0"/>
      <w:divBdr>
        <w:top w:val="none" w:sz="0" w:space="0" w:color="auto"/>
        <w:left w:val="none" w:sz="0" w:space="0" w:color="auto"/>
        <w:bottom w:val="none" w:sz="0" w:space="0" w:color="auto"/>
        <w:right w:val="none" w:sz="0" w:space="0" w:color="auto"/>
      </w:divBdr>
    </w:div>
    <w:div w:id="1084954049">
      <w:bodyDiv w:val="1"/>
      <w:marLeft w:val="0"/>
      <w:marRight w:val="0"/>
      <w:marTop w:val="0"/>
      <w:marBottom w:val="0"/>
      <w:divBdr>
        <w:top w:val="none" w:sz="0" w:space="0" w:color="auto"/>
        <w:left w:val="none" w:sz="0" w:space="0" w:color="auto"/>
        <w:bottom w:val="none" w:sz="0" w:space="0" w:color="auto"/>
        <w:right w:val="none" w:sz="0" w:space="0" w:color="auto"/>
      </w:divBdr>
      <w:divsChild>
        <w:div w:id="1328751432">
          <w:marLeft w:val="0"/>
          <w:marRight w:val="0"/>
          <w:marTop w:val="0"/>
          <w:marBottom w:val="0"/>
          <w:divBdr>
            <w:top w:val="none" w:sz="0" w:space="0" w:color="auto"/>
            <w:left w:val="none" w:sz="0" w:space="0" w:color="auto"/>
            <w:bottom w:val="none" w:sz="0" w:space="0" w:color="auto"/>
            <w:right w:val="none" w:sz="0" w:space="0" w:color="auto"/>
          </w:divBdr>
        </w:div>
        <w:div w:id="68819555">
          <w:marLeft w:val="0"/>
          <w:marRight w:val="0"/>
          <w:marTop w:val="0"/>
          <w:marBottom w:val="120"/>
          <w:divBdr>
            <w:top w:val="none" w:sz="0" w:space="0" w:color="auto"/>
            <w:left w:val="none" w:sz="0" w:space="0" w:color="auto"/>
            <w:bottom w:val="none" w:sz="0" w:space="0" w:color="auto"/>
            <w:right w:val="none" w:sz="0" w:space="0" w:color="auto"/>
          </w:divBdr>
        </w:div>
      </w:divsChild>
    </w:div>
    <w:div w:id="1926769364">
      <w:bodyDiv w:val="1"/>
      <w:marLeft w:val="0"/>
      <w:marRight w:val="0"/>
      <w:marTop w:val="0"/>
      <w:marBottom w:val="0"/>
      <w:divBdr>
        <w:top w:val="none" w:sz="0" w:space="0" w:color="auto"/>
        <w:left w:val="none" w:sz="0" w:space="0" w:color="auto"/>
        <w:bottom w:val="none" w:sz="0" w:space="0" w:color="auto"/>
        <w:right w:val="none" w:sz="0" w:space="0" w:color="auto"/>
      </w:divBdr>
      <w:divsChild>
        <w:div w:id="1585604201">
          <w:marLeft w:val="0"/>
          <w:marRight w:val="0"/>
          <w:marTop w:val="0"/>
          <w:marBottom w:val="0"/>
          <w:divBdr>
            <w:top w:val="none" w:sz="0" w:space="0" w:color="auto"/>
            <w:left w:val="none" w:sz="0" w:space="0" w:color="auto"/>
            <w:bottom w:val="none" w:sz="0" w:space="0" w:color="auto"/>
            <w:right w:val="none" w:sz="0" w:space="0" w:color="auto"/>
          </w:divBdr>
        </w:div>
        <w:div w:id="1967731963">
          <w:marLeft w:val="0"/>
          <w:marRight w:val="0"/>
          <w:marTop w:val="0"/>
          <w:marBottom w:val="120"/>
          <w:divBdr>
            <w:top w:val="none" w:sz="0" w:space="0" w:color="auto"/>
            <w:left w:val="none" w:sz="0" w:space="0" w:color="auto"/>
            <w:bottom w:val="none" w:sz="0" w:space="0" w:color="auto"/>
            <w:right w:val="none" w:sz="0" w:space="0" w:color="auto"/>
          </w:divBdr>
        </w:div>
        <w:div w:id="1005207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justice.gov/sites/default/files/atr/legacy/2009/05/11/236681.pdf" TargetMode="External"/><Relationship Id="rId1" Type="http://schemas.openxmlformats.org/officeDocument/2006/relationships/hyperlink" Target="https://www.canada.ca/en/competition-bureau/news/2021/10/canada-needs-more-competitio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irm%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198C7-A7B7-4605-A140-09B389C7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7</TotalTime>
  <Pages>18</Pages>
  <Words>4755</Words>
  <Characters>27104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Pugh</dc:creator>
  <cp:lastModifiedBy>Sarah Stirling-Moffet</cp:lastModifiedBy>
  <cp:revision>3</cp:revision>
  <cp:lastPrinted>2017-10-10T16:50:00Z</cp:lastPrinted>
  <dcterms:created xsi:type="dcterms:W3CDTF">2022-02-22T20:09:00Z</dcterms:created>
  <dcterms:modified xsi:type="dcterms:W3CDTF">2022-02-22T20:16:00Z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pgBlank</vt:lpwstr>
  </property>
  <property fmtid="{D5CDD505-2E9C-101B-9397-08002B2CF9AE}" pid="3" name="DocID">
    <vt:lpwstr/>
  </property>
</Properties>
</file>